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 -->
  <w:body>
    <w:p>
      <w:pPr>
        <w:rPr>
          <w:rFonts w:ascii="Arial" w:eastAsia="Arial" w:hAnsi="Arial" w:cs="Arial"/>
          <w:b/>
          <w:sz w:val="36"/>
        </w:rPr>
      </w:pPr>
      <w:r>
        <w:rPr>
          <w:rFonts w:ascii="Arial" w:eastAsia="Arial" w:hAnsi="Arial" w:cs="Arial"/>
          <w:b/>
          <w:sz w:val="36"/>
        </w:rPr>
        <w:t>监督索引号53342300432701000</w:t>
      </w:r>
    </w:p>
    <w:p>
      <w:pPr>
        <w:jc w:val="both"/>
        <w:rPr>
          <w:rFonts w:ascii="方正小标宋简体" w:eastAsia="方正小标宋简体" w:hAnsi="方正小标宋简体" w:cs="方正小标宋简体" w:hint="eastAsia"/>
          <w:b w:val="0"/>
          <w:bCs w:val="0"/>
          <w:sz w:val="30"/>
          <w:szCs w:val="30"/>
          <w:lang w:eastAsia="zh-CN"/>
        </w:rPr>
      </w:pPr>
      <w:r>
        <w:rPr>
          <w:rFonts w:ascii="方正小标宋简体" w:eastAsia="方正小标宋简体" w:hAnsi="方正小标宋简体" w:cs="方正小标宋简体" w:hint="eastAsia"/>
          <w:b w:val="0"/>
          <w:bCs w:val="0"/>
          <w:sz w:val="30"/>
          <w:szCs w:val="30"/>
          <w:lang w:eastAsia="zh-CN"/>
        </w:rPr>
        <w:t>附件</w:t>
      </w:r>
      <w:r>
        <w:rPr>
          <w:rFonts w:ascii="方正小标宋简体" w:eastAsia="方正小标宋简体" w:hAnsi="方正小标宋简体" w:cs="方正小标宋简体" w:hint="eastAsia"/>
          <w:b w:val="0"/>
          <w:bCs w:val="0"/>
          <w:sz w:val="30"/>
          <w:szCs w:val="30"/>
          <w:lang w:val="en-US" w:eastAsia="zh-CN"/>
        </w:rPr>
        <w:t>3</w:t>
      </w:r>
    </w:p>
    <w:p>
      <w:pPr>
        <w:jc w:val="center"/>
        <w:rPr>
          <w:rFonts w:ascii="黑体" w:eastAsia="黑体" w:hAnsi="黑体" w:hint="eastAsia"/>
          <w:sz w:val="36"/>
          <w:szCs w:val="36"/>
        </w:rPr>
      </w:pPr>
      <w:r>
        <w:rPr>
          <w:rFonts w:ascii="黑体" w:eastAsia="黑体" w:hAnsi="黑体" w:hint="eastAsia"/>
          <w:sz w:val="36"/>
          <w:szCs w:val="36"/>
          <w:lang w:eastAsia="zh-CN"/>
        </w:rPr>
        <w:t>维西县林业局</w:t>
      </w:r>
      <w:r>
        <w:rPr>
          <w:rFonts w:ascii="黑体" w:eastAsia="黑体" w:hAnsi="黑体" w:hint="eastAsia"/>
          <w:sz w:val="36"/>
          <w:szCs w:val="36"/>
          <w:lang w:val="en-US" w:eastAsia="zh-CN"/>
        </w:rPr>
        <w:t>2018</w:t>
      </w:r>
      <w:r>
        <w:rPr>
          <w:rFonts w:ascii="黑体" w:eastAsia="黑体" w:hAnsi="黑体" w:hint="eastAsia"/>
          <w:sz w:val="36"/>
          <w:szCs w:val="36"/>
        </w:rPr>
        <w:t>年度部门决算</w:t>
      </w:r>
    </w:p>
    <w:p>
      <w:pPr>
        <w:jc w:val="left"/>
        <w:rPr>
          <w:rFonts w:ascii="黑体" w:eastAsia="黑体" w:hAnsi="黑体" w:hint="eastAsia"/>
          <w:sz w:val="30"/>
          <w:szCs w:val="30"/>
        </w:rPr>
      </w:pPr>
      <w:r>
        <w:rPr>
          <w:rFonts w:ascii="黑体" w:eastAsia="黑体" w:hAnsi="黑体" w:hint="eastAsia"/>
          <w:sz w:val="30"/>
          <w:szCs w:val="30"/>
        </w:rPr>
        <w:t xml:space="preserve">第一部分  </w:t>
      </w:r>
      <w:r>
        <w:rPr>
          <w:rFonts w:ascii="黑体" w:eastAsia="黑体" w:hAnsi="黑体" w:hint="eastAsia"/>
          <w:sz w:val="30"/>
          <w:szCs w:val="30"/>
          <w:lang w:eastAsia="zh-CN"/>
        </w:rPr>
        <w:t>单位</w:t>
      </w:r>
      <w:r>
        <w:rPr>
          <w:rFonts w:ascii="黑体" w:eastAsia="黑体" w:hAnsi="黑体" w:hint="eastAsia"/>
          <w:sz w:val="30"/>
          <w:szCs w:val="30"/>
        </w:rPr>
        <w:t>概况</w:t>
      </w:r>
    </w:p>
    <w:p>
      <w:pPr>
        <w:spacing w:line="240" w:lineRule="atLeast"/>
        <w:jc w:val="left"/>
        <w:rPr>
          <w:rFonts w:ascii="楷体" w:eastAsia="楷体" w:hAnsi="楷体" w:hint="eastAsia"/>
          <w:sz w:val="30"/>
          <w:szCs w:val="30"/>
        </w:rPr>
      </w:pPr>
      <w:r>
        <w:rPr>
          <w:rFonts w:ascii="楷体" w:eastAsia="楷体" w:hAnsi="楷体" w:hint="eastAsia"/>
          <w:sz w:val="30"/>
          <w:szCs w:val="30"/>
        </w:rPr>
        <w:t>一、主要职能</w:t>
      </w:r>
    </w:p>
    <w:p>
      <w:pPr>
        <w:spacing w:line="240" w:lineRule="atLeast"/>
        <w:jc w:val="left"/>
        <w:rPr>
          <w:rFonts w:ascii="楷体" w:eastAsia="楷体" w:hAnsi="楷体" w:hint="eastAsia"/>
          <w:sz w:val="30"/>
          <w:szCs w:val="30"/>
        </w:rPr>
      </w:pPr>
      <w:r>
        <w:rPr>
          <w:rFonts w:ascii="楷体" w:eastAsia="楷体" w:hAnsi="楷体" w:hint="eastAsia"/>
          <w:sz w:val="30"/>
          <w:szCs w:val="30"/>
        </w:rPr>
        <w:t>二、部门基本情况</w:t>
      </w:r>
    </w:p>
    <w:p>
      <w:pPr>
        <w:jc w:val="left"/>
        <w:rPr>
          <w:rFonts w:ascii="黑体" w:eastAsia="黑体" w:hAnsi="黑体" w:hint="eastAsia"/>
          <w:sz w:val="30"/>
          <w:szCs w:val="30"/>
        </w:rPr>
      </w:pPr>
      <w:r>
        <w:rPr>
          <w:rFonts w:ascii="黑体" w:eastAsia="黑体" w:hAnsi="黑体" w:hint="eastAsia"/>
          <w:sz w:val="30"/>
          <w:szCs w:val="30"/>
        </w:rPr>
        <w:t xml:space="preserve">第二部分  </w:t>
      </w:r>
      <w:r>
        <w:rPr>
          <w:rFonts w:ascii="黑体" w:eastAsia="黑体" w:hAnsi="黑体" w:hint="eastAsia"/>
          <w:sz w:val="30"/>
          <w:szCs w:val="30"/>
          <w:lang w:val="en-US" w:eastAsia="zh-CN"/>
        </w:rPr>
        <w:t>2018</w:t>
      </w:r>
      <w:r>
        <w:rPr>
          <w:rFonts w:ascii="黑体" w:eastAsia="黑体" w:hAnsi="黑体" w:hint="eastAsia"/>
          <w:sz w:val="30"/>
          <w:szCs w:val="30"/>
        </w:rPr>
        <w:t>年度部门决算表</w:t>
      </w:r>
    </w:p>
    <w:p>
      <w:pPr>
        <w:jc w:val="left"/>
        <w:rPr>
          <w:rFonts w:ascii="楷体" w:eastAsia="楷体" w:hAnsi="楷体" w:hint="eastAsia"/>
          <w:sz w:val="30"/>
          <w:szCs w:val="30"/>
        </w:rPr>
      </w:pPr>
      <w:r>
        <w:rPr>
          <w:rFonts w:ascii="楷体" w:eastAsia="楷体" w:hAnsi="楷体" w:hint="eastAsia"/>
          <w:sz w:val="30"/>
          <w:szCs w:val="30"/>
        </w:rPr>
        <w:t>一、收入支出决算总表</w:t>
      </w:r>
    </w:p>
    <w:p>
      <w:pPr>
        <w:jc w:val="left"/>
        <w:rPr>
          <w:rFonts w:ascii="楷体" w:eastAsia="楷体" w:hAnsi="楷体" w:hint="eastAsia"/>
          <w:sz w:val="30"/>
          <w:szCs w:val="30"/>
        </w:rPr>
      </w:pPr>
      <w:r>
        <w:rPr>
          <w:rFonts w:ascii="楷体" w:eastAsia="楷体" w:hAnsi="楷体" w:hint="eastAsia"/>
          <w:sz w:val="30"/>
          <w:szCs w:val="30"/>
        </w:rPr>
        <w:t>二、收入决算表</w:t>
      </w:r>
    </w:p>
    <w:p>
      <w:pPr>
        <w:jc w:val="left"/>
        <w:rPr>
          <w:rFonts w:ascii="楷体" w:eastAsia="楷体" w:hAnsi="楷体" w:hint="eastAsia"/>
          <w:sz w:val="30"/>
          <w:szCs w:val="30"/>
        </w:rPr>
      </w:pPr>
      <w:r>
        <w:rPr>
          <w:rFonts w:ascii="楷体" w:eastAsia="楷体" w:hAnsi="楷体" w:hint="eastAsia"/>
          <w:sz w:val="30"/>
          <w:szCs w:val="30"/>
        </w:rPr>
        <w:t>三、支出决算表</w:t>
      </w:r>
    </w:p>
    <w:p>
      <w:pPr>
        <w:jc w:val="left"/>
        <w:rPr>
          <w:rFonts w:ascii="楷体" w:eastAsia="楷体" w:hAnsi="楷体" w:hint="eastAsia"/>
          <w:sz w:val="30"/>
          <w:szCs w:val="30"/>
        </w:rPr>
      </w:pPr>
      <w:r>
        <w:rPr>
          <w:rFonts w:ascii="楷体" w:eastAsia="楷体" w:hAnsi="楷体" w:hint="eastAsia"/>
          <w:sz w:val="30"/>
          <w:szCs w:val="30"/>
        </w:rPr>
        <w:t>四、财政拨款收入支出决算总表</w:t>
      </w:r>
    </w:p>
    <w:p>
      <w:pPr>
        <w:jc w:val="left"/>
        <w:rPr>
          <w:rFonts w:ascii="楷体" w:eastAsia="楷体" w:hAnsi="楷体" w:hint="eastAsia"/>
          <w:sz w:val="30"/>
          <w:szCs w:val="30"/>
        </w:rPr>
      </w:pPr>
      <w:r>
        <w:rPr>
          <w:rFonts w:ascii="楷体" w:eastAsia="楷体" w:hAnsi="楷体" w:hint="eastAsia"/>
          <w:sz w:val="30"/>
          <w:szCs w:val="30"/>
        </w:rPr>
        <w:t>五、一般公共预算财政拨款收入支出决算表</w:t>
      </w:r>
    </w:p>
    <w:p>
      <w:pPr>
        <w:jc w:val="left"/>
        <w:rPr>
          <w:rFonts w:ascii="楷体" w:eastAsia="楷体" w:hAnsi="楷体" w:hint="eastAsia"/>
          <w:sz w:val="30"/>
          <w:szCs w:val="30"/>
        </w:rPr>
      </w:pPr>
      <w:r>
        <w:rPr>
          <w:rFonts w:ascii="楷体" w:eastAsia="楷体" w:hAnsi="楷体" w:hint="eastAsia"/>
          <w:sz w:val="30"/>
          <w:szCs w:val="30"/>
        </w:rPr>
        <w:t>六、一般公共预算财政拨款基本支出决算表</w:t>
      </w:r>
    </w:p>
    <w:p>
      <w:pPr>
        <w:jc w:val="left"/>
        <w:rPr>
          <w:rFonts w:ascii="楷体" w:eastAsia="楷体" w:hAnsi="楷体" w:hint="eastAsia"/>
          <w:sz w:val="30"/>
          <w:szCs w:val="30"/>
        </w:rPr>
      </w:pPr>
      <w:r>
        <w:rPr>
          <w:rFonts w:ascii="楷体" w:eastAsia="楷体" w:hAnsi="楷体" w:hint="eastAsia"/>
          <w:sz w:val="30"/>
          <w:szCs w:val="30"/>
        </w:rPr>
        <w:t>七、政府性基金预算财政拨款收入支出决算表</w:t>
      </w:r>
    </w:p>
    <w:p>
      <w:pPr>
        <w:jc w:val="left"/>
        <w:rPr>
          <w:rFonts w:ascii="楷体" w:eastAsia="楷体" w:hAnsi="楷体" w:hint="eastAsia"/>
          <w:sz w:val="30"/>
          <w:szCs w:val="30"/>
        </w:rPr>
      </w:pPr>
      <w:r>
        <w:rPr>
          <w:rFonts w:ascii="楷体" w:eastAsia="楷体" w:hAnsi="楷体" w:hint="eastAsia"/>
          <w:sz w:val="30"/>
          <w:szCs w:val="30"/>
        </w:rPr>
        <w:t>八、财政专户管理资金收入支出决算表</w:t>
      </w:r>
    </w:p>
    <w:p>
      <w:pPr>
        <w:jc w:val="left"/>
        <w:rPr>
          <w:rFonts w:ascii="楷体" w:eastAsia="楷体" w:hAnsi="楷体" w:hint="eastAsia"/>
          <w:sz w:val="30"/>
          <w:szCs w:val="30"/>
        </w:rPr>
      </w:pPr>
      <w:r>
        <w:rPr>
          <w:rFonts w:ascii="楷体" w:eastAsia="楷体" w:hAnsi="楷体" w:hint="eastAsia"/>
          <w:sz w:val="30"/>
          <w:szCs w:val="30"/>
        </w:rPr>
        <w:t>九、</w:t>
      </w:r>
      <w:r>
        <w:rPr>
          <w:rFonts w:ascii="楷体" w:eastAsia="楷体" w:hAnsi="楷体" w:hint="eastAsia"/>
          <w:sz w:val="30"/>
          <w:szCs w:val="30"/>
        </w:rPr>
        <w:t>“</w:t>
      </w:r>
      <w:r>
        <w:rPr>
          <w:rFonts w:ascii="楷体" w:eastAsia="楷体" w:hAnsi="楷体" w:hint="eastAsia"/>
          <w:sz w:val="30"/>
          <w:szCs w:val="30"/>
        </w:rPr>
        <w:t>三公</w:t>
      </w:r>
      <w:r>
        <w:rPr>
          <w:rFonts w:ascii="楷体" w:eastAsia="楷体" w:hAnsi="楷体" w:hint="eastAsia"/>
          <w:sz w:val="30"/>
          <w:szCs w:val="30"/>
        </w:rPr>
        <w:t>”</w:t>
      </w:r>
      <w:r>
        <w:rPr>
          <w:rFonts w:ascii="楷体" w:eastAsia="楷体" w:hAnsi="楷体" w:hint="eastAsia"/>
          <w:sz w:val="30"/>
          <w:szCs w:val="30"/>
        </w:rPr>
        <w:t>经费、行政参公单位机关运行经费情况表</w:t>
      </w:r>
    </w:p>
    <w:p>
      <w:pPr>
        <w:jc w:val="left"/>
        <w:rPr>
          <w:rFonts w:ascii="黑体" w:eastAsia="黑体" w:hAnsi="黑体" w:hint="eastAsia"/>
          <w:sz w:val="30"/>
          <w:szCs w:val="30"/>
        </w:rPr>
      </w:pPr>
      <w:r>
        <w:rPr>
          <w:rFonts w:ascii="黑体" w:eastAsia="黑体" w:hAnsi="黑体" w:hint="eastAsia"/>
          <w:sz w:val="30"/>
          <w:szCs w:val="30"/>
        </w:rPr>
        <w:t>第三部</w:t>
      </w:r>
      <w:r>
        <w:rPr>
          <w:rFonts w:ascii="黑体" w:eastAsia="黑体" w:hAnsi="黑体" w:hint="eastAsia"/>
          <w:sz w:val="30"/>
          <w:szCs w:val="30"/>
          <w:lang w:eastAsia="zh-CN"/>
        </w:rPr>
        <w:t>分</w:t>
      </w:r>
      <w:r>
        <w:rPr>
          <w:rFonts w:ascii="黑体" w:eastAsia="黑体" w:hAnsi="黑体" w:hint="eastAsia"/>
          <w:sz w:val="30"/>
          <w:szCs w:val="30"/>
        </w:rPr>
        <w:t xml:space="preserve">  </w:t>
      </w:r>
      <w:r>
        <w:rPr>
          <w:rFonts w:ascii="黑体" w:eastAsia="黑体" w:hAnsi="黑体" w:hint="eastAsia"/>
          <w:sz w:val="30"/>
          <w:szCs w:val="30"/>
          <w:lang w:val="en-US" w:eastAsia="zh-CN"/>
        </w:rPr>
        <w:t>2018</w:t>
      </w:r>
      <w:r>
        <w:rPr>
          <w:rFonts w:ascii="黑体" w:eastAsia="黑体" w:hAnsi="黑体" w:hint="eastAsia"/>
          <w:sz w:val="30"/>
          <w:szCs w:val="30"/>
        </w:rPr>
        <w:t>年度部门决算情况说明</w:t>
      </w:r>
    </w:p>
    <w:p>
      <w:pPr>
        <w:jc w:val="left"/>
        <w:rPr>
          <w:rFonts w:ascii="楷体" w:eastAsia="楷体" w:hAnsi="楷体" w:hint="eastAsia"/>
          <w:sz w:val="30"/>
          <w:szCs w:val="30"/>
        </w:rPr>
      </w:pPr>
      <w:r>
        <w:rPr>
          <w:rFonts w:ascii="楷体" w:eastAsia="楷体" w:hAnsi="楷体" w:hint="eastAsia"/>
          <w:sz w:val="30"/>
          <w:szCs w:val="30"/>
        </w:rPr>
        <w:t>一、收入决算情况说明</w:t>
      </w:r>
    </w:p>
    <w:p>
      <w:pPr>
        <w:jc w:val="left"/>
        <w:rPr>
          <w:rFonts w:ascii="楷体" w:eastAsia="楷体" w:hAnsi="楷体" w:hint="eastAsia"/>
          <w:sz w:val="30"/>
          <w:szCs w:val="30"/>
        </w:rPr>
      </w:pPr>
      <w:r>
        <w:rPr>
          <w:rFonts w:ascii="楷体" w:eastAsia="楷体" w:hAnsi="楷体" w:hint="eastAsia"/>
          <w:sz w:val="30"/>
          <w:szCs w:val="30"/>
        </w:rPr>
        <w:t>二、支出决算情况说明</w:t>
      </w:r>
    </w:p>
    <w:p>
      <w:pPr>
        <w:jc w:val="left"/>
        <w:rPr>
          <w:rFonts w:ascii="楷体" w:eastAsia="楷体" w:hAnsi="楷体" w:hint="eastAsia"/>
          <w:sz w:val="30"/>
          <w:szCs w:val="30"/>
        </w:rPr>
      </w:pPr>
      <w:r>
        <w:rPr>
          <w:rFonts w:ascii="楷体" w:eastAsia="楷体" w:hAnsi="楷体" w:hint="eastAsia"/>
          <w:sz w:val="30"/>
          <w:szCs w:val="30"/>
        </w:rPr>
        <w:t>三、一般公共预算财政拨款支出决算情况说明</w:t>
      </w:r>
    </w:p>
    <w:p>
      <w:pPr>
        <w:widowControl/>
        <w:snapToGrid w:val="0"/>
        <w:spacing w:before="100" w:beforeLines="0" w:after="100" w:afterLines="0" w:line="360" w:lineRule="auto"/>
        <w:jc w:val="left"/>
        <w:rPr>
          <w:rFonts w:ascii="楷体" w:eastAsia="楷体" w:hAnsi="楷体" w:hint="eastAsia"/>
          <w:sz w:val="30"/>
          <w:szCs w:val="30"/>
        </w:rPr>
      </w:pPr>
      <w:r>
        <w:rPr>
          <w:rFonts w:ascii="楷体" w:eastAsia="楷体" w:hAnsi="楷体" w:hint="eastAsia"/>
          <w:sz w:val="30"/>
          <w:szCs w:val="30"/>
        </w:rPr>
        <w:t>四、一般公共预算财政拨款</w:t>
      </w:r>
      <w:r>
        <w:rPr>
          <w:rFonts w:ascii="楷体" w:eastAsia="楷体" w:hAnsi="楷体" w:hint="eastAsia"/>
          <w:sz w:val="30"/>
          <w:szCs w:val="30"/>
        </w:rPr>
        <w:t>“</w:t>
      </w:r>
      <w:r>
        <w:rPr>
          <w:rFonts w:ascii="楷体" w:eastAsia="楷体" w:hAnsi="楷体" w:hint="eastAsia"/>
          <w:sz w:val="30"/>
          <w:szCs w:val="30"/>
        </w:rPr>
        <w:t>三公</w:t>
      </w:r>
      <w:r>
        <w:rPr>
          <w:rFonts w:ascii="楷体" w:eastAsia="楷体" w:hAnsi="楷体" w:hint="eastAsia"/>
          <w:sz w:val="30"/>
          <w:szCs w:val="30"/>
        </w:rPr>
        <w:t>”</w:t>
      </w:r>
      <w:r>
        <w:rPr>
          <w:rFonts w:ascii="楷体" w:eastAsia="楷体" w:hAnsi="楷体" w:hint="eastAsia"/>
          <w:sz w:val="30"/>
          <w:szCs w:val="30"/>
        </w:rPr>
        <w:t>经费支出决算情况说明</w:t>
      </w:r>
    </w:p>
    <w:p>
      <w:pPr>
        <w:widowControl/>
        <w:snapToGrid w:val="0"/>
        <w:spacing w:before="100" w:beforeLines="0" w:after="100" w:afterLines="0" w:line="360" w:lineRule="auto"/>
        <w:jc w:val="left"/>
        <w:rPr>
          <w:rFonts w:ascii="黑体" w:eastAsia="黑体" w:hAnsi="黑体" w:hint="eastAsia"/>
          <w:sz w:val="30"/>
          <w:szCs w:val="30"/>
        </w:rPr>
      </w:pPr>
      <w:r>
        <w:rPr>
          <w:rFonts w:ascii="黑体" w:eastAsia="黑体" w:hAnsi="黑体" w:hint="eastAsia"/>
          <w:sz w:val="30"/>
          <w:szCs w:val="30"/>
          <w:lang w:eastAsia="zh-CN"/>
        </w:rPr>
        <w:t>第四部分</w:t>
      </w:r>
      <w:r>
        <w:rPr>
          <w:rFonts w:ascii="楷体" w:eastAsia="楷体" w:hAnsi="楷体" w:hint="eastAsia"/>
          <w:sz w:val="30"/>
          <w:szCs w:val="30"/>
          <w:lang w:val="en-US" w:eastAsia="zh-CN"/>
        </w:rPr>
        <w:t xml:space="preserve">  </w:t>
      </w:r>
      <w:r>
        <w:rPr>
          <w:rFonts w:ascii="黑体" w:eastAsia="黑体" w:hAnsi="黑体" w:hint="eastAsia"/>
          <w:sz w:val="30"/>
          <w:szCs w:val="30"/>
        </w:rPr>
        <w:t>其他重要事项及相关口径情况说明</w:t>
      </w:r>
    </w:p>
    <w:p>
      <w:pPr>
        <w:jc w:val="left"/>
        <w:rPr>
          <w:rFonts w:ascii="楷体" w:eastAsia="楷体" w:hAnsi="楷体" w:hint="eastAsia"/>
          <w:sz w:val="30"/>
          <w:szCs w:val="30"/>
          <w:lang w:eastAsia="zh-CN"/>
        </w:rPr>
      </w:pPr>
      <w:r>
        <w:rPr>
          <w:rFonts w:ascii="楷体" w:eastAsia="楷体" w:hAnsi="楷体" w:hint="eastAsia"/>
          <w:sz w:val="30"/>
          <w:szCs w:val="30"/>
          <w:lang w:eastAsia="zh-CN"/>
        </w:rPr>
        <w:t>一、</w:t>
      </w:r>
      <w:r>
        <w:rPr>
          <w:rFonts w:ascii="楷体" w:eastAsia="楷体" w:hAnsi="楷体" w:hint="eastAsia"/>
          <w:sz w:val="30"/>
          <w:szCs w:val="30"/>
        </w:rPr>
        <w:t>机关运行经费支出情况</w:t>
      </w:r>
    </w:p>
    <w:p>
      <w:pPr>
        <w:jc w:val="left"/>
        <w:rPr>
          <w:rFonts w:ascii="楷体" w:eastAsia="楷体" w:hAnsi="楷体" w:hint="eastAsia"/>
          <w:sz w:val="30"/>
          <w:szCs w:val="30"/>
          <w:lang w:eastAsia="zh-CN"/>
        </w:rPr>
      </w:pPr>
      <w:r>
        <w:rPr>
          <w:rFonts w:ascii="楷体" w:eastAsia="楷体" w:hAnsi="楷体" w:hint="eastAsia"/>
          <w:sz w:val="30"/>
          <w:szCs w:val="30"/>
          <w:lang w:eastAsia="zh-CN"/>
        </w:rPr>
        <w:t>二、</w:t>
      </w:r>
      <w:r>
        <w:rPr>
          <w:rFonts w:ascii="楷体" w:eastAsia="楷体" w:hAnsi="楷体" w:hint="eastAsia"/>
          <w:sz w:val="30"/>
          <w:szCs w:val="30"/>
        </w:rPr>
        <w:t>国有资产占用情况</w:t>
      </w:r>
    </w:p>
    <w:p>
      <w:pPr>
        <w:jc w:val="left"/>
        <w:rPr>
          <w:rFonts w:ascii="楷体" w:eastAsia="楷体" w:hAnsi="楷体" w:hint="eastAsia"/>
          <w:sz w:val="30"/>
          <w:szCs w:val="30"/>
          <w:lang w:eastAsia="zh-CN"/>
        </w:rPr>
      </w:pPr>
      <w:r>
        <w:rPr>
          <w:rFonts w:ascii="楷体" w:eastAsia="楷体" w:hAnsi="楷体" w:hint="eastAsia"/>
          <w:sz w:val="30"/>
          <w:szCs w:val="30"/>
          <w:lang w:eastAsia="zh-CN"/>
        </w:rPr>
        <w:t>三、</w:t>
      </w:r>
      <w:r>
        <w:rPr>
          <w:rFonts w:ascii="楷体" w:eastAsia="楷体" w:hAnsi="楷体" w:hint="eastAsia"/>
          <w:sz w:val="30"/>
          <w:szCs w:val="30"/>
        </w:rPr>
        <w:t>政府采购支出情况</w:t>
      </w:r>
    </w:p>
    <w:p>
      <w:pPr>
        <w:jc w:val="left"/>
        <w:rPr>
          <w:rFonts w:ascii="楷体" w:eastAsia="楷体" w:hAnsi="楷体" w:hint="eastAsia"/>
          <w:sz w:val="30"/>
          <w:szCs w:val="30"/>
          <w:lang w:val="en-US" w:eastAsia="zh-CN"/>
        </w:rPr>
      </w:pPr>
      <w:r>
        <w:rPr>
          <w:rFonts w:ascii="楷体" w:eastAsia="楷体" w:hAnsi="楷体" w:hint="eastAsia"/>
          <w:sz w:val="30"/>
          <w:szCs w:val="30"/>
          <w:lang w:eastAsia="zh-CN"/>
        </w:rPr>
        <w:t>四、</w:t>
      </w:r>
      <w:r>
        <w:rPr>
          <w:rFonts w:ascii="楷体" w:eastAsia="楷体" w:hAnsi="楷体" w:hint="eastAsia"/>
          <w:sz w:val="30"/>
          <w:szCs w:val="30"/>
          <w:lang w:val="en-US" w:eastAsia="zh-CN"/>
        </w:rPr>
        <w:t>部门绩效自评情况</w:t>
      </w:r>
    </w:p>
    <w:p>
      <w:pPr>
        <w:jc w:val="left"/>
        <w:rPr>
          <w:rFonts w:ascii="楷体" w:eastAsia="楷体" w:hAnsi="楷体" w:hint="eastAsia"/>
          <w:sz w:val="30"/>
          <w:szCs w:val="30"/>
          <w:lang w:val="en-US" w:eastAsia="zh-CN"/>
        </w:rPr>
      </w:pPr>
      <w:r>
        <w:rPr>
          <w:rFonts w:ascii="楷体" w:eastAsia="楷体" w:hAnsi="楷体" w:hint="eastAsia"/>
          <w:sz w:val="30"/>
          <w:szCs w:val="30"/>
          <w:lang w:val="en-US" w:eastAsia="zh-CN"/>
        </w:rPr>
        <w:t>（一）</w:t>
      </w:r>
      <w:r>
        <w:rPr>
          <w:rFonts w:ascii="楷体" w:eastAsia="楷体" w:hAnsi="楷体" w:hint="eastAsia"/>
          <w:sz w:val="30"/>
          <w:szCs w:val="30"/>
          <w:lang w:eastAsia="zh-CN"/>
        </w:rPr>
        <w:t>项目支出概况</w:t>
      </w:r>
    </w:p>
    <w:p>
      <w:pPr>
        <w:jc w:val="left"/>
        <w:rPr>
          <w:rFonts w:ascii="楷体" w:eastAsia="楷体" w:hAnsi="楷体" w:hint="eastAsia"/>
          <w:sz w:val="30"/>
          <w:szCs w:val="30"/>
          <w:lang w:val="en-US" w:eastAsia="zh-CN"/>
        </w:rPr>
      </w:pPr>
      <w:r>
        <w:rPr>
          <w:rFonts w:ascii="楷体" w:eastAsia="楷体" w:hAnsi="楷体" w:hint="eastAsia"/>
          <w:sz w:val="30"/>
          <w:szCs w:val="30"/>
          <w:lang w:val="en-US" w:eastAsia="zh-CN"/>
        </w:rPr>
        <w:t>（二）</w:t>
      </w:r>
      <w:r>
        <w:rPr>
          <w:rFonts w:ascii="楷体" w:eastAsia="楷体" w:hAnsi="楷体" w:hint="eastAsia"/>
          <w:sz w:val="30"/>
          <w:szCs w:val="30"/>
          <w:lang w:eastAsia="zh-CN"/>
        </w:rPr>
        <w:t>项目支出绩效自评</w:t>
      </w:r>
    </w:p>
    <w:p>
      <w:pPr>
        <w:jc w:val="left"/>
        <w:rPr>
          <w:rFonts w:ascii="楷体" w:eastAsia="楷体" w:hAnsi="楷体" w:hint="eastAsia"/>
          <w:sz w:val="30"/>
          <w:szCs w:val="30"/>
          <w:lang w:val="en-US" w:eastAsia="zh-CN"/>
        </w:rPr>
      </w:pPr>
      <w:r>
        <w:rPr>
          <w:rFonts w:ascii="楷体" w:eastAsia="楷体" w:hAnsi="楷体" w:hint="eastAsia"/>
          <w:sz w:val="30"/>
          <w:szCs w:val="30"/>
          <w:lang w:val="en-US" w:eastAsia="zh-CN"/>
        </w:rPr>
        <w:t>（三）</w:t>
      </w:r>
      <w:r>
        <w:rPr>
          <w:rFonts w:ascii="楷体" w:eastAsia="楷体" w:hAnsi="楷体" w:hint="eastAsia"/>
          <w:sz w:val="30"/>
          <w:szCs w:val="30"/>
          <w:lang w:eastAsia="zh-CN"/>
        </w:rPr>
        <w:t>项目绩效目标管理</w:t>
      </w:r>
    </w:p>
    <w:p>
      <w:pPr>
        <w:jc w:val="left"/>
        <w:rPr>
          <w:rFonts w:ascii="楷体" w:eastAsia="楷体" w:hAnsi="楷体" w:hint="eastAsia"/>
          <w:sz w:val="30"/>
          <w:szCs w:val="30"/>
          <w:lang w:val="en-US" w:eastAsia="zh-CN"/>
        </w:rPr>
      </w:pPr>
      <w:r>
        <w:rPr>
          <w:rFonts w:ascii="楷体" w:eastAsia="楷体" w:hAnsi="楷体" w:hint="eastAsia"/>
          <w:sz w:val="30"/>
          <w:szCs w:val="30"/>
          <w:lang w:val="en-US" w:eastAsia="zh-CN"/>
        </w:rPr>
        <w:t>（四）</w:t>
      </w:r>
      <w:r>
        <w:rPr>
          <w:rFonts w:ascii="楷体" w:eastAsia="楷体" w:hAnsi="楷体" w:hint="eastAsia"/>
          <w:sz w:val="30"/>
          <w:szCs w:val="30"/>
          <w:lang w:eastAsia="zh-CN"/>
        </w:rPr>
        <w:t>2018部门整体支出绩效自评报告</w:t>
      </w:r>
    </w:p>
    <w:p>
      <w:pPr>
        <w:jc w:val="left"/>
        <w:rPr>
          <w:rFonts w:ascii="楷体" w:eastAsia="楷体" w:hAnsi="楷体" w:hint="eastAsia"/>
          <w:sz w:val="30"/>
          <w:szCs w:val="30"/>
          <w:lang w:val="en-US" w:eastAsia="zh-CN"/>
        </w:rPr>
      </w:pPr>
      <w:r>
        <w:rPr>
          <w:rFonts w:ascii="楷体" w:eastAsia="楷体" w:hAnsi="楷体" w:hint="eastAsia"/>
          <w:sz w:val="30"/>
          <w:szCs w:val="30"/>
          <w:lang w:val="en-US" w:eastAsia="zh-CN"/>
        </w:rPr>
        <w:t>（五）</w:t>
      </w:r>
      <w:r>
        <w:rPr>
          <w:rFonts w:ascii="楷体" w:eastAsia="楷体" w:hAnsi="楷体" w:hint="eastAsia"/>
          <w:sz w:val="30"/>
          <w:szCs w:val="30"/>
          <w:lang w:eastAsia="zh-CN"/>
        </w:rPr>
        <w:t>部门整体支出绩效自评表</w:t>
      </w:r>
    </w:p>
    <w:p>
      <w:pPr>
        <w:jc w:val="left"/>
        <w:rPr>
          <w:rFonts w:ascii="楷体" w:eastAsia="楷体" w:hAnsi="楷体" w:hint="eastAsia"/>
          <w:sz w:val="30"/>
          <w:szCs w:val="30"/>
          <w:lang w:eastAsia="zh-CN"/>
        </w:rPr>
      </w:pPr>
      <w:r>
        <w:rPr>
          <w:rFonts w:ascii="楷体" w:eastAsia="楷体" w:hAnsi="楷体" w:hint="eastAsia"/>
          <w:sz w:val="30"/>
          <w:szCs w:val="30"/>
          <w:lang w:eastAsia="zh-CN"/>
        </w:rPr>
        <w:t>五、</w:t>
      </w:r>
      <w:r>
        <w:rPr>
          <w:rFonts w:ascii="楷体" w:eastAsia="楷体" w:hAnsi="楷体" w:hint="eastAsia"/>
          <w:sz w:val="30"/>
          <w:szCs w:val="30"/>
          <w:lang w:val="en-US" w:eastAsia="zh-CN"/>
        </w:rPr>
        <w:t>其他重要事项情况说明</w:t>
      </w:r>
    </w:p>
    <w:p>
      <w:pPr>
        <w:widowControl/>
        <w:snapToGrid w:val="0"/>
        <w:spacing w:before="100" w:beforeLines="0" w:after="100" w:afterLines="0" w:line="360" w:lineRule="auto"/>
        <w:jc w:val="left"/>
        <w:rPr>
          <w:rFonts w:ascii="黑体" w:eastAsia="黑体" w:hAnsi="黑体" w:hint="eastAsia"/>
          <w:sz w:val="30"/>
          <w:szCs w:val="30"/>
        </w:rPr>
      </w:pPr>
      <w:r>
        <w:rPr>
          <w:rFonts w:ascii="黑体" w:eastAsia="黑体" w:hAnsi="黑体" w:hint="eastAsia"/>
          <w:sz w:val="30"/>
          <w:szCs w:val="30"/>
        </w:rPr>
        <w:t>第</w:t>
      </w:r>
      <w:r>
        <w:rPr>
          <w:rFonts w:ascii="黑体" w:eastAsia="黑体" w:hAnsi="黑体" w:hint="eastAsia"/>
          <w:sz w:val="30"/>
          <w:szCs w:val="30"/>
          <w:lang w:eastAsia="zh-CN"/>
        </w:rPr>
        <w:t>五</w:t>
      </w:r>
      <w:r>
        <w:rPr>
          <w:rFonts w:ascii="黑体" w:eastAsia="黑体" w:hAnsi="黑体" w:hint="eastAsia"/>
          <w:sz w:val="30"/>
          <w:szCs w:val="30"/>
        </w:rPr>
        <w:t>部分  名词解释</w:t>
      </w:r>
    </w:p>
    <w:p>
      <w:pPr>
        <w:jc w:val="center"/>
        <w:rPr>
          <w:rFonts w:ascii="黑体" w:eastAsia="黑体" w:hAnsi="黑体" w:hint="eastAsia"/>
          <w:sz w:val="32"/>
          <w:szCs w:val="32"/>
        </w:rPr>
      </w:pPr>
    </w:p>
    <w:p>
      <w:pPr>
        <w:jc w:val="center"/>
        <w:rPr>
          <w:rFonts w:ascii="黑体" w:eastAsia="黑体" w:hAnsi="黑体" w:hint="eastAsia"/>
          <w:sz w:val="32"/>
          <w:szCs w:val="32"/>
        </w:rPr>
      </w:pPr>
    </w:p>
    <w:p>
      <w:pPr>
        <w:jc w:val="center"/>
        <w:rPr>
          <w:rFonts w:ascii="黑体" w:eastAsia="黑体" w:hAnsi="黑体" w:hint="eastAsia"/>
          <w:sz w:val="32"/>
          <w:szCs w:val="32"/>
        </w:rPr>
      </w:pPr>
    </w:p>
    <w:p>
      <w:pPr>
        <w:jc w:val="center"/>
        <w:rPr>
          <w:rFonts w:ascii="黑体" w:eastAsia="黑体" w:hAnsi="黑体" w:hint="eastAsia"/>
          <w:sz w:val="32"/>
          <w:szCs w:val="32"/>
        </w:rPr>
      </w:pPr>
    </w:p>
    <w:p>
      <w:pPr>
        <w:jc w:val="center"/>
        <w:rPr>
          <w:rFonts w:ascii="黑体" w:eastAsia="黑体" w:hAnsi="黑体" w:hint="eastAsia"/>
          <w:sz w:val="32"/>
          <w:szCs w:val="32"/>
        </w:rPr>
      </w:pPr>
    </w:p>
    <w:p>
      <w:pPr>
        <w:jc w:val="center"/>
        <w:rPr>
          <w:rFonts w:ascii="黑体" w:eastAsia="黑体" w:hAnsi="黑体" w:hint="eastAsia"/>
          <w:sz w:val="32"/>
          <w:szCs w:val="32"/>
        </w:rPr>
      </w:pPr>
    </w:p>
    <w:p>
      <w:pPr>
        <w:jc w:val="center"/>
        <w:rPr>
          <w:rFonts w:ascii="黑体" w:eastAsia="黑体" w:hAnsi="黑体" w:hint="eastAsia"/>
          <w:sz w:val="32"/>
          <w:szCs w:val="32"/>
        </w:rPr>
      </w:pPr>
    </w:p>
    <w:p>
      <w:pPr>
        <w:jc w:val="center"/>
        <w:rPr>
          <w:rFonts w:ascii="黑体" w:eastAsia="黑体" w:hAnsi="黑体" w:hint="eastAsia"/>
          <w:sz w:val="32"/>
          <w:szCs w:val="32"/>
        </w:rPr>
      </w:pPr>
    </w:p>
    <w:p>
      <w:pPr>
        <w:jc w:val="both"/>
        <w:rPr>
          <w:rFonts w:ascii="黑体" w:eastAsia="黑体" w:hAnsi="黑体" w:hint="eastAsia"/>
          <w:sz w:val="32"/>
          <w:szCs w:val="32"/>
        </w:rPr>
      </w:pPr>
    </w:p>
    <w:p>
      <w:pPr>
        <w:jc w:val="center"/>
        <w:rPr>
          <w:rFonts w:ascii="黑体" w:eastAsia="黑体" w:hAnsi="黑体" w:hint="eastAsia"/>
          <w:sz w:val="32"/>
          <w:szCs w:val="32"/>
        </w:rPr>
      </w:pPr>
      <w:r>
        <w:rPr>
          <w:rFonts w:ascii="黑体" w:eastAsia="黑体" w:hAnsi="黑体" w:hint="eastAsia"/>
          <w:sz w:val="32"/>
          <w:szCs w:val="32"/>
        </w:rPr>
        <w:t xml:space="preserve">第一部分  </w:t>
      </w:r>
      <w:r>
        <w:rPr>
          <w:rFonts w:ascii="黑体" w:eastAsia="黑体" w:hAnsi="黑体" w:hint="eastAsia"/>
          <w:sz w:val="32"/>
          <w:szCs w:val="32"/>
          <w:lang w:eastAsia="zh-CN"/>
        </w:rPr>
        <w:t>单位</w:t>
      </w:r>
      <w:r>
        <w:rPr>
          <w:rFonts w:ascii="黑体" w:eastAsia="黑体" w:hAnsi="黑体" w:hint="eastAsia"/>
          <w:sz w:val="32"/>
          <w:szCs w:val="32"/>
        </w:rPr>
        <w:t>概况</w:t>
      </w:r>
    </w:p>
    <w:p>
      <w:pPr>
        <w:spacing w:line="600" w:lineRule="exact"/>
        <w:ind w:firstLine="600" w:firstLineChars="200"/>
        <w:rPr>
          <w:rFonts w:ascii="黑体" w:eastAsia="黑体" w:hAnsi="黑体" w:hint="eastAsia"/>
          <w:sz w:val="30"/>
          <w:szCs w:val="30"/>
        </w:rPr>
      </w:pPr>
      <w:r>
        <w:rPr>
          <w:rFonts w:ascii="黑体" w:eastAsia="黑体" w:hAnsi="黑体" w:hint="eastAsia"/>
          <w:sz w:val="30"/>
          <w:szCs w:val="30"/>
        </w:rPr>
        <w:t>一、主要职能</w:t>
      </w:r>
    </w:p>
    <w:p>
      <w:pPr>
        <w:spacing w:line="600" w:lineRule="exact"/>
        <w:ind w:firstLine="600" w:firstLineChars="200"/>
        <w:rPr>
          <w:rFonts w:ascii="楷体" w:eastAsia="楷体" w:hAnsi="楷体" w:hint="eastAsia"/>
          <w:sz w:val="30"/>
          <w:szCs w:val="30"/>
        </w:rPr>
      </w:pPr>
      <w:r>
        <w:rPr>
          <w:rFonts w:ascii="楷体" w:eastAsia="楷体" w:hAnsi="楷体" w:hint="eastAsia"/>
          <w:bCs/>
          <w:sz w:val="30"/>
          <w:szCs w:val="30"/>
        </w:rPr>
        <w:t>（一）主要职能</w:t>
      </w:r>
    </w:p>
    <w:p>
      <w:pPr>
        <w:pStyle w:val="BodyText"/>
        <w:adjustRightInd w:val="0"/>
        <w:snapToGrid w:val="0"/>
        <w:spacing w:line="600" w:lineRule="exact"/>
        <w:rPr>
          <w:rFonts w:hint="eastAsia"/>
          <w:bCs/>
          <w:szCs w:val="30"/>
        </w:rPr>
      </w:pPr>
      <w:r>
        <w:rPr>
          <w:rFonts w:hint="eastAsia"/>
          <w:szCs w:val="30"/>
          <w:lang w:val="en-US" w:eastAsia="zh-CN"/>
        </w:rPr>
        <w:t xml:space="preserve">   </w:t>
      </w:r>
      <w:r>
        <w:rPr>
          <w:rFonts w:hint="eastAsia"/>
          <w:szCs w:val="30"/>
        </w:rPr>
        <w:t>贯彻执行国家森林生态环境建设、森林资源保护和国土绿化方针、政策、法律法规；研究拟定我县林业法规、规章和政策并监督实施。拟定全县林业发展中长期规划并组织实施。组织开展造林绿化、封山育林工作，组织、指导以生物措施防治水土流失工作；组织、指导森林资源（含防护林、用材林、经济林、薪炭林、特种用途林）的管理；组织、指导林业种子、苗木的生产经营、质量监督检验及林业良种的审定；组织协调、指导、监督全县森林防火工作，制定全县森林防火规划并组织实施，发布森林火灾信息等。</w:t>
      </w:r>
    </w:p>
    <w:p>
      <w:pPr>
        <w:pStyle w:val="BodyText"/>
        <w:adjustRightInd w:val="0"/>
        <w:snapToGrid w:val="0"/>
        <w:spacing w:line="600" w:lineRule="exact"/>
        <w:ind w:firstLine="630" w:firstLineChars="210"/>
        <w:rPr>
          <w:rFonts w:ascii="楷体" w:eastAsia="楷体" w:hAnsi="楷体" w:hint="eastAsia"/>
          <w:bCs/>
          <w:szCs w:val="30"/>
        </w:rPr>
      </w:pPr>
      <w:r>
        <w:rPr>
          <w:rFonts w:ascii="楷体" w:eastAsia="楷体" w:hAnsi="楷体" w:hint="eastAsia"/>
          <w:bCs/>
          <w:szCs w:val="30"/>
        </w:rPr>
        <w:t>（二）</w:t>
      </w:r>
      <w:r>
        <w:rPr>
          <w:rFonts w:ascii="楷体" w:eastAsia="楷体" w:hAnsi="楷体" w:hint="eastAsia"/>
          <w:bCs/>
          <w:szCs w:val="30"/>
          <w:lang w:val="en-US" w:eastAsia="zh-CN"/>
        </w:rPr>
        <w:t>2018</w:t>
      </w:r>
      <w:r>
        <w:rPr>
          <w:rFonts w:ascii="楷体" w:eastAsia="楷体" w:hAnsi="楷体" w:hint="eastAsia"/>
          <w:bCs/>
          <w:szCs w:val="30"/>
        </w:rPr>
        <w:t>年度重点工作任务介绍</w:t>
      </w:r>
    </w:p>
    <w:p>
      <w:pPr>
        <w:adjustRightInd w:val="0"/>
        <w:snapToGrid w:val="0"/>
        <w:spacing w:line="360" w:lineRule="auto"/>
        <w:ind w:firstLine="600" w:firstLineChars="200"/>
        <w:rPr>
          <w:rFonts w:ascii="仿宋_GB2312" w:eastAsia="仿宋_GB2312" w:hint="eastAsia"/>
          <w:b/>
          <w:sz w:val="30"/>
          <w:szCs w:val="30"/>
        </w:rPr>
      </w:pPr>
      <w:r>
        <w:rPr>
          <w:rFonts w:ascii="仿宋_GB2312" w:eastAsia="仿宋_GB2312" w:hint="eastAsia"/>
          <w:b/>
          <w:sz w:val="30"/>
          <w:szCs w:val="30"/>
        </w:rPr>
        <w:t>1、全力维护森林生态安全，国土绿化稳步推进</w:t>
      </w:r>
    </w:p>
    <w:p>
      <w:pPr>
        <w:adjustRightInd w:val="0"/>
        <w:snapToGrid w:val="0"/>
        <w:spacing w:line="360" w:lineRule="auto"/>
        <w:ind w:firstLine="600" w:firstLineChars="200"/>
        <w:rPr>
          <w:rFonts w:ascii="仿宋_GB2312" w:eastAsia="仿宋_GB2312" w:hAnsi="仿宋" w:hint="eastAsia"/>
          <w:sz w:val="30"/>
          <w:szCs w:val="30"/>
        </w:rPr>
      </w:pPr>
      <w:r>
        <w:rPr>
          <w:rFonts w:ascii="仿宋_GB2312" w:eastAsia="仿宋_GB2312" w:hint="eastAsia"/>
          <w:sz w:val="30"/>
          <w:szCs w:val="30"/>
        </w:rPr>
        <w:t>稳步推进林业重点建设项目，进一步发挥重点生态工程在国土绿化和改善生态中的主体作用。实施新一轮退耕还林任务3.33万亩。</w:t>
      </w:r>
      <w:r>
        <w:rPr>
          <w:rFonts w:ascii="仿宋_GB2312" w:eastAsia="仿宋_GB2312" w:hAnsi="仿宋" w:cs="仿宋" w:hint="eastAsia"/>
          <w:sz w:val="30"/>
          <w:szCs w:val="30"/>
        </w:rPr>
        <w:t>完成天然林保护工程二期</w:t>
      </w:r>
      <w:r>
        <w:rPr>
          <w:rFonts w:ascii="仿宋_GB2312" w:eastAsia="仿宋_GB2312" w:hAnsi="仿宋" w:hint="eastAsia"/>
          <w:sz w:val="30"/>
          <w:szCs w:val="30"/>
        </w:rPr>
        <w:t>公益林建设项目1.4万亩。</w:t>
      </w:r>
      <w:r>
        <w:rPr>
          <w:rFonts w:ascii="仿宋_GB2312" w:eastAsia="仿宋_GB2312" w:hint="eastAsia"/>
          <w:kern w:val="32"/>
          <w:sz w:val="30"/>
          <w:szCs w:val="30"/>
        </w:rPr>
        <w:t>实施陡坡地生态治理0.5万亩，实施国家森林抚育补贴项目5 万亩，造林补贴项目0.5 万亩，低效林改造项目2 万亩，石漠化综合治理建设项目4.58万亩；</w:t>
      </w:r>
      <w:r>
        <w:rPr>
          <w:rFonts w:ascii="仿宋_GB2312" w:eastAsia="仿宋_GB2312" w:hAnsi="仿宋" w:hint="eastAsia"/>
          <w:sz w:val="30"/>
          <w:szCs w:val="30"/>
        </w:rPr>
        <w:t>完成</w:t>
      </w:r>
      <w:r>
        <w:rPr>
          <w:rFonts w:ascii="仿宋_GB2312" w:eastAsia="仿宋_GB2312" w:hAnsi="仿宋" w:cs="仿宋" w:hint="eastAsia"/>
          <w:sz w:val="30"/>
          <w:szCs w:val="30"/>
        </w:rPr>
        <w:t>中央财政造林补贴项目0.5万亩，省级木本油料提质增效1.2万亩，征占用林地异地植被恢复项目 0.2万亩。完成木材战略储备林基地建设项目0.2万亩。全年累计完成春季植树造林1519万株，其中，义务植树220.73万株。</w:t>
      </w:r>
      <w:r>
        <w:rPr>
          <w:rFonts w:ascii="仿宋_GB2312" w:eastAsia="仿宋_GB2312" w:hint="eastAsia"/>
          <w:sz w:val="30"/>
          <w:szCs w:val="30"/>
        </w:rPr>
        <w:t>全县城乡人居生态环境和资源生态状况持续改善。</w:t>
      </w:r>
      <w:r>
        <w:rPr>
          <w:rFonts w:ascii="仿宋_GB2312" w:eastAsia="仿宋_GB2312" w:hAnsi="仿宋" w:cs="仿宋" w:hint="eastAsia"/>
          <w:color w:val="000000"/>
          <w:sz w:val="30"/>
          <w:szCs w:val="30"/>
        </w:rPr>
        <w:t>林木种苗事业得到长足发展，种苗生产基地初具规模。定点育苗103亩，办理苗木质量检验证及苗木标签128份，</w:t>
      </w:r>
      <w:r>
        <w:rPr>
          <w:rFonts w:ascii="仿宋_GB2312" w:eastAsia="仿宋_GB2312" w:hint="eastAsia"/>
          <w:sz w:val="30"/>
          <w:szCs w:val="30"/>
        </w:rPr>
        <w:t>林木良种使用率不断提高。</w:t>
      </w:r>
    </w:p>
    <w:p>
      <w:pPr>
        <w:adjustRightInd w:val="0"/>
        <w:snapToGrid w:val="0"/>
        <w:spacing w:line="360" w:lineRule="auto"/>
        <w:ind w:firstLine="600" w:firstLineChars="200"/>
        <w:rPr>
          <w:rFonts w:ascii="仿宋_GB2312" w:eastAsia="仿宋_GB2312" w:hint="eastAsia"/>
          <w:b/>
          <w:sz w:val="30"/>
          <w:szCs w:val="30"/>
        </w:rPr>
      </w:pPr>
      <w:r>
        <w:rPr>
          <w:rFonts w:ascii="仿宋_GB2312" w:eastAsia="仿宋_GB2312" w:hint="eastAsia"/>
          <w:b/>
          <w:sz w:val="30"/>
          <w:szCs w:val="30"/>
        </w:rPr>
        <w:t>2、严格执行生态保护制度，林业资源保护全面加强</w:t>
      </w:r>
    </w:p>
    <w:p>
      <w:pPr>
        <w:adjustRightInd w:val="0"/>
        <w:snapToGrid w:val="0"/>
        <w:spacing w:line="360" w:lineRule="auto"/>
        <w:ind w:firstLine="600" w:firstLineChars="200"/>
        <w:rPr>
          <w:rFonts w:ascii="仿宋_GB2312" w:eastAsia="仿宋_GB2312" w:hint="eastAsia"/>
          <w:color w:val="000000"/>
          <w:sz w:val="30"/>
          <w:szCs w:val="30"/>
        </w:rPr>
      </w:pPr>
      <w:r>
        <w:rPr>
          <w:rFonts w:ascii="仿宋_GB2312" w:eastAsia="仿宋_GB2312" w:hint="eastAsia"/>
          <w:sz w:val="30"/>
          <w:szCs w:val="30"/>
        </w:rPr>
        <w:t>坚持和践行绿水青山就是金山银山的发展理念，严格执行生态保护制度。</w:t>
      </w:r>
      <w:r>
        <w:rPr>
          <w:rFonts w:ascii="仿宋_GB2312" w:eastAsia="仿宋_GB2312" w:hAnsi="仿宋" w:hint="eastAsia"/>
          <w:sz w:val="30"/>
          <w:szCs w:val="30"/>
        </w:rPr>
        <w:t>实施天然林管护</w:t>
      </w:r>
      <w:r>
        <w:rPr>
          <w:rFonts w:ascii="仿宋_GB2312" w:eastAsia="仿宋_GB2312" w:hint="eastAsia"/>
          <w:color w:val="000000"/>
          <w:kern w:val="32"/>
          <w:sz w:val="30"/>
          <w:szCs w:val="30"/>
        </w:rPr>
        <w:t>537.96 万</w:t>
      </w:r>
      <w:r>
        <w:rPr>
          <w:rFonts w:ascii="仿宋_GB2312" w:eastAsia="仿宋_GB2312" w:hAnsi="仿宋" w:hint="eastAsia"/>
          <w:sz w:val="30"/>
          <w:szCs w:val="30"/>
        </w:rPr>
        <w:t>亩。涉及89个责任单位，1829个管护责任区。</w:t>
      </w:r>
      <w:r>
        <w:rPr>
          <w:rFonts w:ascii="仿宋_GB2312" w:eastAsia="仿宋_GB2312" w:hAnsi="仿宋" w:cs="仿宋" w:hint="eastAsia"/>
          <w:bCs/>
          <w:sz w:val="30"/>
          <w:szCs w:val="30"/>
        </w:rPr>
        <w:t>签订管护目标责任状7份。</w:t>
      </w:r>
      <w:r>
        <w:rPr>
          <w:rFonts w:ascii="仿宋_GB2312" w:eastAsia="仿宋_GB2312" w:hAnsi="宋体" w:cs="宋体" w:hint="eastAsia"/>
          <w:sz w:val="30"/>
          <w:szCs w:val="30"/>
        </w:rPr>
        <w:t>聘用公益林管护员、天保工程护林员、生态护林员共4925人，签订森林管护承包合同书4925份，禁限伐协议125份，将管护责任落实到山头地块，落实到具体责任人，</w:t>
      </w:r>
      <w:r>
        <w:rPr>
          <w:rFonts w:ascii="仿宋_GB2312" w:eastAsia="仿宋_GB2312" w:hint="eastAsia"/>
          <w:sz w:val="30"/>
          <w:szCs w:val="30"/>
        </w:rPr>
        <w:t>天然林生态功能逐步恢复。</w:t>
      </w:r>
      <w:r>
        <w:rPr>
          <w:rFonts w:ascii="仿宋_GB2312" w:eastAsia="仿宋_GB2312" w:hAnsi="仿宋" w:hint="eastAsia"/>
          <w:sz w:val="30"/>
          <w:szCs w:val="30"/>
        </w:rPr>
        <w:t>加强湿地资源保护</w:t>
      </w:r>
      <w:r>
        <w:rPr>
          <w:rFonts w:ascii="仿宋_GB2312" w:eastAsia="仿宋_GB2312" w:hint="eastAsia"/>
          <w:sz w:val="30"/>
          <w:szCs w:val="30"/>
        </w:rPr>
        <w:t>。</w:t>
      </w:r>
      <w:r>
        <w:rPr>
          <w:rFonts w:ascii="仿宋_GB2312" w:eastAsia="仿宋_GB2312" w:hAnsi="仿宋" w:hint="eastAsia"/>
          <w:sz w:val="30"/>
          <w:szCs w:val="30"/>
        </w:rPr>
        <w:t>开展华冉底、玻美古、尼那果湿地斑块省级重要湿地认定工作。</w:t>
      </w:r>
      <w:r>
        <w:rPr>
          <w:rFonts w:ascii="仿宋_GB2312" w:eastAsia="仿宋_GB2312" w:hint="eastAsia"/>
          <w:sz w:val="30"/>
          <w:szCs w:val="30"/>
        </w:rPr>
        <w:t>使</w:t>
      </w:r>
      <w:r>
        <w:rPr>
          <w:rFonts w:ascii="仿宋_GB2312" w:eastAsia="仿宋_GB2312" w:hAnsi="仿宋" w:hint="eastAsia"/>
          <w:sz w:val="30"/>
          <w:szCs w:val="30"/>
        </w:rPr>
        <w:t>全县湿地面积达到4779.02公顷，河流湿地3478.32公顷。华冉底湿地被云南省人民政府认定为省级重要湿地，面积82.11公顷。</w:t>
      </w:r>
      <w:r>
        <w:rPr>
          <w:rFonts w:ascii="仿宋_GB2312" w:eastAsia="仿宋_GB2312" w:hint="eastAsia"/>
          <w:sz w:val="30"/>
          <w:szCs w:val="30"/>
        </w:rPr>
        <w:t>湿地资源生态状况明显改善。认真做好野生动物保护工作。完成</w:t>
      </w:r>
      <w:r>
        <w:rPr>
          <w:rFonts w:ascii="仿宋_GB2312" w:eastAsia="仿宋_GB2312" w:hAnsi="仿宋" w:hint="eastAsia"/>
          <w:sz w:val="30"/>
          <w:szCs w:val="30"/>
        </w:rPr>
        <w:t>2017年第四季度及今年前三季度共182起野生动物肇事案件审核和理赔工作。开展全县陆生野生动物野外资源调查，建立数据库和信息平台。开展秋季迁徙鸟类调查，对重点区域鸟类迁徙情况进行动态监测，</w:t>
      </w:r>
      <w:r>
        <w:rPr>
          <w:rFonts w:ascii="仿宋_GB2312" w:eastAsia="仿宋_GB2312" w:hint="eastAsia"/>
          <w:sz w:val="30"/>
          <w:szCs w:val="30"/>
        </w:rPr>
        <w:t>重点保护野生动植物种群和数量稳中有升。对全县</w:t>
      </w:r>
      <w:r>
        <w:rPr>
          <w:rFonts w:ascii="仿宋_GB2312" w:eastAsia="仿宋_GB2312" w:hAnsi="仿宋" w:cs="仿宋" w:hint="eastAsia"/>
          <w:sz w:val="30"/>
          <w:szCs w:val="30"/>
        </w:rPr>
        <w:t>176株单株古树、21群古树群更科学、更全面地进行调查、核查。</w:t>
      </w:r>
      <w:r>
        <w:rPr>
          <w:rFonts w:ascii="仿宋_GB2312" w:eastAsia="仿宋_GB2312" w:cs="仿宋" w:hint="eastAsia"/>
          <w:color w:val="000000"/>
          <w:sz w:val="30"/>
          <w:szCs w:val="30"/>
          <w:shd w:val="clear" w:color="auto" w:fill="FFFFFF"/>
        </w:rPr>
        <w:t>认真分析</w:t>
      </w:r>
      <w:r>
        <w:rPr>
          <w:rFonts w:ascii="仿宋_GB2312" w:eastAsia="仿宋_GB2312" w:hAnsi="宋体" w:hint="eastAsia"/>
          <w:sz w:val="30"/>
          <w:szCs w:val="30"/>
        </w:rPr>
        <w:t>古树名木的生态、历史、文化和科研价值</w:t>
      </w:r>
      <w:r>
        <w:rPr>
          <w:rFonts w:ascii="仿宋_GB2312" w:eastAsia="仿宋_GB2312" w:hint="eastAsia"/>
          <w:sz w:val="30"/>
          <w:szCs w:val="30"/>
        </w:rPr>
        <w:t>，并采取有效措施加以保护，确保古树健康生长。加大资源林政管理工作力度。</w:t>
      </w:r>
      <w:r>
        <w:rPr>
          <w:rFonts w:ascii="仿宋_GB2312" w:eastAsia="仿宋_GB2312" w:hAnsi="仿宋" w:cs="仿宋" w:hint="eastAsia"/>
          <w:sz w:val="30"/>
          <w:szCs w:val="30"/>
        </w:rPr>
        <w:t>严厉打击违法经营加工木材行为，进一步规范木材经营加工秩序。加强县内木材运输管理</w:t>
      </w:r>
      <w:r>
        <w:rPr>
          <w:rFonts w:ascii="仿宋_GB2312" w:eastAsia="仿宋_GB2312" w:hAnsi="仿宋" w:cs="仿宋" w:hint="eastAsia"/>
          <w:bCs/>
          <w:sz w:val="30"/>
          <w:szCs w:val="30"/>
        </w:rPr>
        <w:t>。</w:t>
      </w:r>
      <w:r>
        <w:rPr>
          <w:rFonts w:ascii="仿宋_GB2312" w:eastAsia="仿宋_GB2312" w:hAnsi="仿宋" w:cs="仿宋" w:hint="eastAsia"/>
          <w:sz w:val="30"/>
          <w:szCs w:val="30"/>
        </w:rPr>
        <w:t>各木材检查站、票据查验点、管护站</w:t>
      </w:r>
      <w:r>
        <w:rPr>
          <w:rFonts w:ascii="仿宋_GB2312" w:eastAsia="仿宋_GB2312" w:hAnsi="仿宋" w:cs="仿宋" w:hint="eastAsia"/>
          <w:bCs/>
          <w:sz w:val="30"/>
          <w:szCs w:val="30"/>
        </w:rPr>
        <w:t>检查车辆4万多辆。</w:t>
      </w:r>
      <w:r>
        <w:rPr>
          <w:rFonts w:ascii="仿宋_GB2312" w:eastAsia="仿宋_GB2312" w:hAnsi="仿宋" w:cs="仿宋" w:hint="eastAsia"/>
          <w:sz w:val="30"/>
          <w:szCs w:val="30"/>
        </w:rPr>
        <w:t>严格执行</w:t>
      </w:r>
      <w:r>
        <w:rPr>
          <w:rFonts w:ascii="仿宋_GB2312" w:eastAsia="仿宋_GB2312" w:hAnsi="仿宋" w:cs="仿宋" w:hint="eastAsia"/>
          <w:sz w:val="30"/>
          <w:szCs w:val="30"/>
        </w:rPr>
        <w:t>“</w:t>
      </w:r>
      <w:r>
        <w:rPr>
          <w:rFonts w:ascii="仿宋_GB2312" w:eastAsia="仿宋_GB2312" w:hAnsi="仿宋" w:cs="仿宋" w:hint="eastAsia"/>
          <w:sz w:val="30"/>
          <w:szCs w:val="30"/>
        </w:rPr>
        <w:t>十三五</w:t>
      </w:r>
      <w:r>
        <w:rPr>
          <w:rFonts w:ascii="仿宋_GB2312" w:eastAsia="仿宋_GB2312" w:hAnsi="仿宋" w:cs="仿宋" w:hint="eastAsia"/>
          <w:sz w:val="30"/>
          <w:szCs w:val="30"/>
        </w:rPr>
        <w:t>”</w:t>
      </w:r>
      <w:r>
        <w:rPr>
          <w:rFonts w:ascii="仿宋_GB2312" w:eastAsia="仿宋_GB2312" w:hAnsi="仿宋" w:cs="仿宋" w:hint="eastAsia"/>
          <w:sz w:val="30"/>
          <w:szCs w:val="30"/>
        </w:rPr>
        <w:t>采伐限额有关规定，</w:t>
      </w:r>
      <w:r>
        <w:rPr>
          <w:rFonts w:ascii="仿宋_GB2312" w:eastAsia="仿宋_GB2312" w:hAnsi="仿宋" w:cs="仿宋" w:hint="eastAsia"/>
          <w:bCs/>
          <w:sz w:val="30"/>
          <w:szCs w:val="30"/>
        </w:rPr>
        <w:t>办理采伐许可证1718份，采伐林木14810.2立方米，</w:t>
      </w:r>
      <w:r>
        <w:rPr>
          <w:rFonts w:ascii="仿宋_GB2312" w:eastAsia="仿宋_GB2312" w:hAnsi="仿宋" w:cs="仿宋" w:hint="eastAsia"/>
          <w:sz w:val="30"/>
          <w:szCs w:val="30"/>
        </w:rPr>
        <w:t>采伐量严格控制在上级下达的指标范围内。严格按有关规定和程序报批建设项目征占用林地手续。</w:t>
      </w:r>
      <w:r>
        <w:rPr>
          <w:rFonts w:ascii="仿宋_GB2312" w:eastAsia="仿宋_GB2312" w:hAnsi="仿宋" w:cs="仿宋" w:hint="eastAsia"/>
          <w:bCs/>
          <w:sz w:val="30"/>
          <w:szCs w:val="30"/>
        </w:rPr>
        <w:t>共审核上报林地9起，永久性征占用林地71.83公顷、临时征占用林地23.96公顷。积极配合有关部门完成全县矿业权联堪联审工作。开展森林监测、核查、执法</w:t>
      </w:r>
      <w:r>
        <w:rPr>
          <w:rFonts w:ascii="仿宋_GB2312" w:eastAsia="仿宋_GB2312" w:hAnsi="仿宋" w:cs="仿宋" w:hint="eastAsia"/>
          <w:bCs/>
          <w:sz w:val="30"/>
          <w:szCs w:val="30"/>
        </w:rPr>
        <w:t>“</w:t>
      </w:r>
      <w:r>
        <w:rPr>
          <w:rFonts w:ascii="仿宋_GB2312" w:eastAsia="仿宋_GB2312" w:hAnsi="仿宋" w:cs="仿宋" w:hint="eastAsia"/>
          <w:bCs/>
          <w:sz w:val="30"/>
          <w:szCs w:val="30"/>
        </w:rPr>
        <w:t>三个全覆盖</w:t>
      </w:r>
      <w:r>
        <w:rPr>
          <w:rFonts w:ascii="仿宋_GB2312" w:eastAsia="仿宋_GB2312" w:hAnsi="仿宋" w:cs="仿宋" w:hint="eastAsia"/>
          <w:bCs/>
          <w:sz w:val="30"/>
          <w:szCs w:val="30"/>
        </w:rPr>
        <w:t>”</w:t>
      </w:r>
      <w:r>
        <w:rPr>
          <w:rFonts w:ascii="仿宋_GB2312" w:eastAsia="仿宋_GB2312" w:hAnsi="仿宋" w:cs="仿宋" w:hint="eastAsia"/>
          <w:bCs/>
          <w:sz w:val="30"/>
          <w:szCs w:val="30"/>
        </w:rPr>
        <w:t>森林督查工作，对全县101个凝似问题图斑进行现地核查。</w:t>
      </w:r>
      <w:r>
        <w:rPr>
          <w:rFonts w:ascii="仿宋_GB2312" w:eastAsia="仿宋_GB2312" w:hint="eastAsia"/>
          <w:color w:val="000000"/>
          <w:sz w:val="30"/>
          <w:szCs w:val="30"/>
        </w:rPr>
        <w:t>建立涉黑涉恶线索摸排核查机制，对涉林各个领域进行全面核查。采取集中摸排和动态摸排相结合的办法，对全县林业行政执法案件和信访件进行梳理，全面排查涉黑涉恶违法犯罪线索，</w:t>
      </w:r>
      <w:r>
        <w:rPr>
          <w:rFonts w:ascii="仿宋_GB2312" w:eastAsia="仿宋_GB2312" w:hAnsi="仿宋" w:cs="仿宋" w:hint="eastAsia"/>
          <w:sz w:val="30"/>
          <w:szCs w:val="30"/>
        </w:rPr>
        <w:t>严厉打击破坏森林资源的一切违法行为。</w:t>
      </w:r>
      <w:r>
        <w:rPr>
          <w:rFonts w:ascii="仿宋_GB2312" w:eastAsia="仿宋_GB2312" w:hAnsi="仿宋" w:cs="仿宋" w:hint="eastAsia"/>
          <w:bCs/>
          <w:sz w:val="30"/>
          <w:szCs w:val="30"/>
        </w:rPr>
        <w:t>受理林业行政案件161起、处罚161人、没收木材49.796立方米、罚款199.7万元。</w:t>
      </w:r>
      <w:r>
        <w:rPr>
          <w:rFonts w:ascii="仿宋_GB2312" w:eastAsia="仿宋_GB2312" w:hAnsi="仿宋" w:cs="仿宋" w:hint="eastAsia"/>
          <w:color w:val="000000"/>
          <w:sz w:val="30"/>
          <w:szCs w:val="30"/>
          <w:shd w:val="clear" w:color="auto" w:fill="FFFFFF"/>
        </w:rPr>
        <w:t>森林防火基础设施和扑火队伍建设取得突破性进展，预防和控制森林火灾的综合能力得到大幅度提高。</w:t>
      </w:r>
      <w:r>
        <w:rPr>
          <w:rFonts w:ascii="仿宋_GB2312" w:eastAsia="仿宋_GB2312" w:hAnsi="宋体" w:hint="eastAsia"/>
          <w:sz w:val="30"/>
          <w:szCs w:val="30"/>
        </w:rPr>
        <w:t>通过压实责任，加大宣传力度，严格野外火源管理，强化督查督导工作，狠抓应急值守，</w:t>
      </w:r>
      <w:r>
        <w:rPr>
          <w:rFonts w:ascii="仿宋_GB2312" w:eastAsia="仿宋_GB2312" w:hAnsi="仿宋" w:cs="宋体" w:hint="eastAsia"/>
          <w:sz w:val="30"/>
          <w:szCs w:val="30"/>
        </w:rPr>
        <w:t>实现了在整个防期无一起森林火灾发生的历史最好成绩</w:t>
      </w:r>
      <w:r>
        <w:rPr>
          <w:rFonts w:ascii="仿宋_GB2312" w:eastAsia="仿宋_GB2312" w:hAnsi="仿宋" w:cs="仿宋" w:hint="eastAsia"/>
          <w:color w:val="000000"/>
          <w:sz w:val="30"/>
          <w:szCs w:val="30"/>
          <w:shd w:val="clear" w:color="auto" w:fill="FFFFFF"/>
        </w:rPr>
        <w:t>。继续加大</w:t>
      </w:r>
      <w:r>
        <w:rPr>
          <w:rFonts w:ascii="仿宋_GB2312" w:eastAsia="仿宋_GB2312" w:hint="eastAsia"/>
          <w:sz w:val="30"/>
          <w:szCs w:val="30"/>
        </w:rPr>
        <w:t>林业有害生物防治工作力度，</w:t>
      </w:r>
      <w:r>
        <w:rPr>
          <w:rFonts w:ascii="仿宋_GB2312" w:eastAsia="仿宋_GB2312" w:hAnsi="仿宋" w:cs="仿宋" w:hint="eastAsia"/>
          <w:color w:val="000000"/>
          <w:sz w:val="30"/>
          <w:szCs w:val="30"/>
          <w:shd w:val="clear" w:color="auto" w:fill="FFFFFF"/>
        </w:rPr>
        <w:t>严格实行森林病虫疫源疫情监测预报制度，及时准确掌握疫情动态。</w:t>
      </w:r>
      <w:r>
        <w:rPr>
          <w:rFonts w:ascii="仿宋_GB2312" w:eastAsia="仿宋_GB2312" w:cs="Tahoma" w:hint="eastAsia"/>
          <w:sz w:val="30"/>
          <w:szCs w:val="30"/>
        </w:rPr>
        <w:t>实施林业有害生物监测404.94万亩，监测覆盖率达99%，</w:t>
      </w:r>
      <w:r>
        <w:rPr>
          <w:rFonts w:ascii="仿宋_GB2312" w:eastAsia="仿宋_GB2312" w:hint="eastAsia"/>
          <w:sz w:val="30"/>
          <w:szCs w:val="30"/>
        </w:rPr>
        <w:t>测报准确率达98%；无公害防治面积2.53万亩，无公害防治率为100%。林业有害生物成灾率控制在4</w:t>
      </w:r>
      <w:r>
        <w:rPr>
          <w:rFonts w:ascii="仿宋_GB2312" w:eastAsia="仿宋_GB2312" w:hint="eastAsia"/>
          <w:sz w:val="30"/>
          <w:szCs w:val="30"/>
        </w:rPr>
        <w:t>‰</w:t>
      </w:r>
      <w:r>
        <w:rPr>
          <w:rFonts w:ascii="仿宋_GB2312" w:eastAsia="仿宋_GB2312" w:hint="eastAsia"/>
          <w:sz w:val="30"/>
          <w:szCs w:val="30"/>
        </w:rPr>
        <w:t>以下。</w:t>
      </w:r>
      <w:r>
        <w:rPr>
          <w:rFonts w:ascii="仿宋_GB2312" w:eastAsia="仿宋_GB2312" w:hAnsi="仿宋" w:cs="仿宋" w:hint="eastAsia"/>
          <w:color w:val="000000"/>
          <w:sz w:val="30"/>
          <w:szCs w:val="30"/>
          <w:shd w:val="clear" w:color="auto" w:fill="FFFFFF"/>
        </w:rPr>
        <w:t>强化检疫执法力度。</w:t>
      </w:r>
      <w:r>
        <w:rPr>
          <w:rFonts w:ascii="仿宋_GB2312" w:eastAsia="仿宋_GB2312" w:cs="宋体" w:hint="eastAsia"/>
          <w:sz w:val="30"/>
          <w:szCs w:val="30"/>
        </w:rPr>
        <w:t>办理产地检疫合格证115份，检疫率达100%。</w:t>
      </w:r>
      <w:r>
        <w:rPr>
          <w:rFonts w:ascii="仿宋_GB2312" w:eastAsia="仿宋_GB2312" w:hint="eastAsia"/>
          <w:sz w:val="30"/>
          <w:szCs w:val="30"/>
        </w:rPr>
        <w:t>复检苗木463.96万株，木材665.42立方米。调运</w:t>
      </w:r>
      <w:r>
        <w:rPr>
          <w:rFonts w:ascii="仿宋_GB2312" w:eastAsia="仿宋_GB2312" w:hAnsi="宋体" w:hint="eastAsia"/>
          <w:color w:val="000000"/>
          <w:sz w:val="30"/>
          <w:szCs w:val="30"/>
        </w:rPr>
        <w:t>检疫率99%以上</w:t>
      </w:r>
      <w:r>
        <w:rPr>
          <w:rFonts w:ascii="仿宋_GB2312" w:eastAsia="仿宋_GB2312" w:hAnsi="宋体" w:cs="Tahoma" w:hint="eastAsia"/>
          <w:sz w:val="30"/>
          <w:szCs w:val="30"/>
        </w:rPr>
        <w:t>。</w:t>
      </w:r>
    </w:p>
    <w:p>
      <w:pPr>
        <w:adjustRightInd w:val="0"/>
        <w:snapToGrid w:val="0"/>
        <w:spacing w:line="360" w:lineRule="auto"/>
        <w:ind w:firstLine="600" w:firstLineChars="200"/>
        <w:rPr>
          <w:rFonts w:ascii="仿宋_GB2312" w:eastAsia="仿宋_GB2312" w:hint="eastAsia"/>
          <w:b/>
          <w:sz w:val="30"/>
          <w:szCs w:val="30"/>
        </w:rPr>
      </w:pPr>
      <w:r>
        <w:rPr>
          <w:rFonts w:ascii="仿宋_GB2312" w:eastAsia="仿宋_GB2312" w:hint="eastAsia"/>
          <w:b/>
          <w:sz w:val="30"/>
          <w:szCs w:val="30"/>
        </w:rPr>
        <w:t>3、积极推进林业各项改革，林业良性发展机制初步形成</w:t>
      </w:r>
    </w:p>
    <w:p>
      <w:pPr>
        <w:adjustRightInd w:val="0"/>
        <w:snapToGrid w:val="0"/>
        <w:spacing w:line="360" w:lineRule="auto"/>
        <w:ind w:firstLine="600" w:firstLineChars="200"/>
        <w:rPr>
          <w:rFonts w:ascii="仿宋_GB2312" w:eastAsia="仿宋_GB2312" w:hint="eastAsia"/>
          <w:b/>
          <w:sz w:val="30"/>
          <w:szCs w:val="30"/>
        </w:rPr>
      </w:pPr>
      <w:r>
        <w:rPr>
          <w:rFonts w:ascii="仿宋_GB2312" w:eastAsia="仿宋_GB2312" w:hint="eastAsia"/>
          <w:sz w:val="30"/>
          <w:szCs w:val="30"/>
        </w:rPr>
        <w:t>进一步明确国有林场职工岗位职责，制定了《维西县国有林场职工量化考核细则》等考核激励机制。修订完善《维西县国有林场财务管理制度》《维西县国有林场职工考勤管理制度》等9项内部管理制度。建立完善县级资源监管体制、森林资源保护管理监测考核体制、森林资源经营管理制度。编制完成《维西县国有林场森林资源二类调查报告》《维西县国有林场中长期发展规划》和《维西县国有林场森林生态建设方案》。各类文件材料整理规范、完整齐全，管理机构完善到位。国有林场林区生态保护职责全面强化，相应的体制机制逐步建立，发展活力明显增强。集体林权制度改革全面深化，林业良性发展机制初步形成，经营管理水平不断提高。</w:t>
      </w:r>
      <w:r>
        <w:rPr>
          <w:rFonts w:ascii="仿宋_GB2312" w:eastAsia="仿宋_GB2312" w:hAnsi="ˎ̥" w:hint="eastAsia"/>
          <w:sz w:val="30"/>
          <w:szCs w:val="30"/>
        </w:rPr>
        <w:t>受理林权流转2起，面积21.3亩。办理林权证变更12起，发放林权证30本。对全县林权基础数据中存在的宗地和林权证错误信息及漏登数据，进行逐宗逐村检查核对。完成林木权登记上传业务120起。调处林权林地纠纷12起。</w:t>
      </w:r>
      <w:r>
        <w:rPr>
          <w:rFonts w:ascii="仿宋_GB2312" w:eastAsia="仿宋_GB2312" w:hint="eastAsia"/>
          <w:sz w:val="30"/>
          <w:szCs w:val="30"/>
        </w:rPr>
        <w:t>配合有关部门出台了一系列加强生态文明建设的制度办法。</w:t>
      </w:r>
    </w:p>
    <w:p>
      <w:pPr>
        <w:adjustRightInd w:val="0"/>
        <w:snapToGrid w:val="0"/>
        <w:spacing w:line="360" w:lineRule="auto"/>
        <w:ind w:firstLine="600" w:firstLineChars="200"/>
        <w:rPr>
          <w:rFonts w:ascii="仿宋_GB2312" w:eastAsia="仿宋_GB2312" w:hint="eastAsia"/>
          <w:b/>
          <w:sz w:val="30"/>
          <w:szCs w:val="30"/>
        </w:rPr>
      </w:pPr>
      <w:r>
        <w:rPr>
          <w:rFonts w:ascii="仿宋_GB2312" w:eastAsia="仿宋_GB2312" w:hint="eastAsia"/>
          <w:b/>
          <w:sz w:val="30"/>
          <w:szCs w:val="30"/>
        </w:rPr>
        <w:t>4、扎实推进生态扶贫工程，绿色富民产业持续快速发展</w:t>
      </w:r>
    </w:p>
    <w:p>
      <w:pPr>
        <w:adjustRightInd w:val="0"/>
        <w:snapToGrid w:val="0"/>
        <w:spacing w:line="360" w:lineRule="auto"/>
        <w:ind w:firstLine="600" w:firstLineChars="200"/>
        <w:rPr>
          <w:rFonts w:ascii="仿宋_GB2312" w:eastAsia="仿宋_GB2312" w:hAnsi="方正仿宋_GBK" w:cs="方正仿宋_GBK" w:hint="eastAsia"/>
          <w:sz w:val="30"/>
          <w:szCs w:val="30"/>
        </w:rPr>
      </w:pPr>
      <w:r>
        <w:rPr>
          <w:rFonts w:ascii="仿宋_GB2312" w:eastAsia="仿宋_GB2312" w:cs="FZLTHK--GBK1-0" w:hint="eastAsia"/>
          <w:color w:val="000000"/>
          <w:sz w:val="30"/>
          <w:szCs w:val="30"/>
        </w:rPr>
        <w:t>生态补偿是一项兼顾</w:t>
      </w:r>
      <w:r>
        <w:rPr>
          <w:rFonts w:ascii="仿宋_GB2312" w:eastAsia="仿宋_GB2312" w:cs="FZLTHK--GBK1-0" w:hint="eastAsia"/>
          <w:color w:val="000000"/>
          <w:sz w:val="30"/>
          <w:szCs w:val="30"/>
        </w:rPr>
        <w:t>“</w:t>
      </w:r>
      <w:r>
        <w:rPr>
          <w:rFonts w:ascii="仿宋_GB2312" w:eastAsia="仿宋_GB2312" w:cs="FZLTHK--GBK1-0" w:hint="eastAsia"/>
          <w:color w:val="000000"/>
          <w:sz w:val="30"/>
          <w:szCs w:val="30"/>
        </w:rPr>
        <w:t>生态</w:t>
      </w:r>
      <w:r>
        <w:rPr>
          <w:rFonts w:ascii="仿宋_GB2312" w:eastAsia="仿宋_GB2312" w:cs="FZLTHK--GBK1-0" w:hint="eastAsia"/>
          <w:color w:val="000000"/>
          <w:sz w:val="30"/>
          <w:szCs w:val="30"/>
        </w:rPr>
        <w:t>”</w:t>
      </w:r>
      <w:r>
        <w:rPr>
          <w:rFonts w:ascii="仿宋_GB2312" w:eastAsia="仿宋_GB2312" w:cs="FZLTHK--GBK1-0" w:hint="eastAsia"/>
          <w:color w:val="000000"/>
          <w:sz w:val="30"/>
          <w:szCs w:val="30"/>
        </w:rPr>
        <w:t>与</w:t>
      </w:r>
      <w:r>
        <w:rPr>
          <w:rFonts w:ascii="仿宋_GB2312" w:eastAsia="仿宋_GB2312" w:cs="FZLTHK--GBK1-0" w:hint="eastAsia"/>
          <w:color w:val="000000"/>
          <w:sz w:val="30"/>
          <w:szCs w:val="30"/>
        </w:rPr>
        <w:t>“</w:t>
      </w:r>
      <w:r>
        <w:rPr>
          <w:rFonts w:ascii="仿宋_GB2312" w:eastAsia="仿宋_GB2312" w:cs="FZLTHK--GBK1-0" w:hint="eastAsia"/>
          <w:color w:val="000000"/>
          <w:sz w:val="30"/>
          <w:szCs w:val="30"/>
        </w:rPr>
        <w:t xml:space="preserve"> 脱贫</w:t>
      </w:r>
      <w:r>
        <w:rPr>
          <w:rFonts w:ascii="仿宋_GB2312" w:eastAsia="仿宋_GB2312" w:cs="FZLTHK--GBK1-0" w:hint="eastAsia"/>
          <w:color w:val="000000"/>
          <w:sz w:val="30"/>
          <w:szCs w:val="30"/>
        </w:rPr>
        <w:t>”</w:t>
      </w:r>
      <w:r>
        <w:rPr>
          <w:rFonts w:ascii="仿宋_GB2312" w:eastAsia="仿宋_GB2312" w:cs="FZLTHK--GBK1-0" w:hint="eastAsia"/>
          <w:color w:val="000000"/>
          <w:sz w:val="30"/>
          <w:szCs w:val="30"/>
        </w:rPr>
        <w:t>的惠民政策。</w:t>
      </w:r>
      <w:r>
        <w:rPr>
          <w:rFonts w:ascii="仿宋_GB2312" w:eastAsia="仿宋_GB2312" w:hAnsi="宋体" w:hint="eastAsia"/>
          <w:sz w:val="30"/>
          <w:szCs w:val="30"/>
        </w:rPr>
        <w:t>对全县231.73万亩国家公益林进行生态效益补偿，</w:t>
      </w:r>
      <w:r>
        <w:rPr>
          <w:rFonts w:ascii="仿宋_GB2312" w:eastAsia="仿宋_GB2312" w:hAnsi="宋体" w:cs="宋体" w:hint="eastAsia"/>
          <w:sz w:val="30"/>
          <w:szCs w:val="30"/>
        </w:rPr>
        <w:t>兑现资金1927.3万元，兑现率100%。涉及全县39139户，138377人。</w:t>
      </w:r>
      <w:r>
        <w:rPr>
          <w:rFonts w:ascii="仿宋_GB2312" w:eastAsia="仿宋_GB2312" w:hint="eastAsia"/>
          <w:kern w:val="32"/>
          <w:sz w:val="30"/>
          <w:szCs w:val="30"/>
        </w:rPr>
        <w:t>其中，涉及建档立卡贫困人口10961户 39550人。累计投入林下产业资金680万元，完成林下药材基地建设1.89万亩，带动670户建档立卡贫困户实现增收。</w:t>
      </w:r>
      <w:r>
        <w:rPr>
          <w:rFonts w:ascii="仿宋_GB2312" w:eastAsia="仿宋_GB2312" w:hint="eastAsia"/>
          <w:sz w:val="30"/>
          <w:szCs w:val="30"/>
        </w:rPr>
        <w:t>1-11月份全县林业产业总产值达到43516万元。</w:t>
      </w:r>
      <w:r>
        <w:rPr>
          <w:rFonts w:ascii="仿宋_GB2312" w:eastAsia="仿宋_GB2312" w:hint="eastAsia"/>
          <w:color w:val="000000"/>
          <w:kern w:val="32"/>
          <w:sz w:val="30"/>
          <w:szCs w:val="30"/>
        </w:rPr>
        <w:t>退耕还林项目辐射建档立卡贫困户5298户19783人，补助资金2251.947万元。</w:t>
      </w:r>
      <w:r>
        <w:rPr>
          <w:rFonts w:ascii="仿宋_GB2312" w:eastAsia="仿宋_GB2312" w:hint="eastAsia"/>
          <w:sz w:val="30"/>
          <w:szCs w:val="30"/>
        </w:rPr>
        <w:t>结合深度贫困脱贫攻坚，实施花椒基地建设项目7200亩，苹果种植项目2381亩，异地搬迁户产业发展项目2073亩，完成林业扶贫资金扶持整合造林项目8929亩，</w:t>
      </w:r>
      <w:r>
        <w:rPr>
          <w:rFonts w:ascii="仿宋_GB2312" w:eastAsia="仿宋_GB2312" w:hint="eastAsia"/>
          <w:color w:val="000000"/>
          <w:kern w:val="32"/>
          <w:sz w:val="30"/>
          <w:szCs w:val="30"/>
        </w:rPr>
        <w:t>珠子参基地建设160亩。完成总投资2607.2万元。</w:t>
      </w:r>
      <w:r>
        <w:rPr>
          <w:rFonts w:ascii="仿宋_GB2312" w:eastAsia="仿宋_GB2312" w:hint="eastAsia"/>
          <w:sz w:val="30"/>
          <w:szCs w:val="30"/>
        </w:rPr>
        <w:t>组织贫困户参与项目整地、栽植、管护，增加贫困户劳务收入，参与造林工日累计12000个工日，建档立卡户增收120万元以上。全县</w:t>
      </w:r>
      <w:r>
        <w:rPr>
          <w:rFonts w:ascii="仿宋_GB2312" w:eastAsia="仿宋_GB2312" w:cs="宋体" w:hint="eastAsia"/>
          <w:sz w:val="30"/>
          <w:szCs w:val="30"/>
        </w:rPr>
        <w:t>共聘用建档立卡贫困人口生态护林员4049人，涉及建档立卡贫困人口4049户，15000余人。补助资金达3911万元，人均年管护补助9000元以上。</w:t>
      </w:r>
      <w:r>
        <w:rPr>
          <w:rFonts w:ascii="仿宋_GB2312" w:eastAsia="仿宋_GB2312" w:hint="eastAsia"/>
          <w:sz w:val="30"/>
          <w:szCs w:val="30"/>
        </w:rPr>
        <w:t>把扶贫攻坚放在统揽经济社会发展全局的高度，有力推动扶贫攻坚各项措施落实到位。及时</w:t>
      </w:r>
      <w:r>
        <w:rPr>
          <w:rFonts w:ascii="仿宋_GB2312" w:eastAsia="仿宋_GB2312" w:cs="宋体" w:hint="eastAsia"/>
          <w:sz w:val="30"/>
          <w:szCs w:val="30"/>
        </w:rPr>
        <w:t>调整充实扶贫攻坚工作领导小组，配强配齐办公室人员，各类扶贫台账完整规范。</w:t>
      </w:r>
      <w:r>
        <w:rPr>
          <w:rFonts w:ascii="仿宋_GB2312" w:eastAsia="仿宋_GB2312" w:hAnsi="方正仿宋_GBK" w:cs="方正仿宋_GBK" w:hint="eastAsia"/>
          <w:sz w:val="30"/>
          <w:szCs w:val="30"/>
        </w:rPr>
        <w:t>浇水浇在根上，扶贫扶在点上，帮扶帮在心上。今年，我们继续加大挂钩村帮扶力度</w:t>
      </w:r>
      <w:r>
        <w:rPr>
          <w:rFonts w:ascii="仿宋_GB2312" w:eastAsia="仿宋_GB2312" w:hint="eastAsia"/>
          <w:sz w:val="30"/>
          <w:szCs w:val="30"/>
        </w:rPr>
        <w:t>。局领导班子成员每月不少于3次主动深入基层调研，有针对性的解决好存在的问题。其他干部职工每月不少于3天深入各挂钩农户，</w:t>
      </w:r>
      <w:r>
        <w:rPr>
          <w:rFonts w:ascii="仿宋_GB2312" w:eastAsia="仿宋_GB2312" w:hAnsi="方正仿宋_GBK" w:cs="方正仿宋_GBK" w:hint="eastAsia"/>
          <w:sz w:val="30"/>
          <w:szCs w:val="30"/>
        </w:rPr>
        <w:t>制定</w:t>
      </w:r>
      <w:r>
        <w:rPr>
          <w:rFonts w:ascii="仿宋_GB2312" w:eastAsia="仿宋_GB2312" w:hint="eastAsia"/>
          <w:sz w:val="30"/>
          <w:szCs w:val="30"/>
        </w:rPr>
        <w:t>切实可行的</w:t>
      </w:r>
      <w:r>
        <w:rPr>
          <w:rFonts w:ascii="仿宋_GB2312" w:eastAsia="仿宋_GB2312" w:hint="eastAsia"/>
          <w:sz w:val="30"/>
          <w:szCs w:val="30"/>
        </w:rPr>
        <w:t>“</w:t>
      </w:r>
      <w:r>
        <w:rPr>
          <w:rFonts w:ascii="仿宋_GB2312" w:eastAsia="仿宋_GB2312" w:hint="eastAsia"/>
          <w:sz w:val="30"/>
          <w:szCs w:val="30"/>
        </w:rPr>
        <w:t>一户一策</w:t>
      </w:r>
      <w:r>
        <w:rPr>
          <w:rFonts w:ascii="仿宋_GB2312" w:eastAsia="仿宋_GB2312" w:hint="eastAsia"/>
          <w:sz w:val="30"/>
          <w:szCs w:val="30"/>
        </w:rPr>
        <w:t>”</w:t>
      </w:r>
      <w:r>
        <w:rPr>
          <w:rFonts w:ascii="仿宋_GB2312" w:eastAsia="仿宋_GB2312" w:hint="eastAsia"/>
          <w:sz w:val="30"/>
          <w:szCs w:val="30"/>
        </w:rPr>
        <w:t>实施方案，并抓好落实。</w:t>
      </w:r>
      <w:r>
        <w:rPr>
          <w:rFonts w:ascii="仿宋_GB2312" w:eastAsia="仿宋_GB2312" w:hAnsi="方正仿宋_GBK" w:cs="方正仿宋_GBK" w:hint="eastAsia"/>
          <w:sz w:val="30"/>
          <w:szCs w:val="30"/>
        </w:rPr>
        <w:t>同时积极开展</w:t>
      </w:r>
      <w:r>
        <w:rPr>
          <w:rFonts w:ascii="仿宋_GB2312" w:eastAsia="仿宋_GB2312" w:hAnsi="方正仿宋_GBK" w:cs="方正仿宋_GBK" w:hint="eastAsia"/>
          <w:sz w:val="30"/>
          <w:szCs w:val="30"/>
        </w:rPr>
        <w:t>“</w:t>
      </w:r>
      <w:r>
        <w:rPr>
          <w:rFonts w:ascii="仿宋_GB2312" w:eastAsia="仿宋_GB2312" w:hAnsi="方正仿宋_GBK" w:cs="方正仿宋_GBK" w:hint="eastAsia"/>
          <w:sz w:val="30"/>
          <w:szCs w:val="30"/>
        </w:rPr>
        <w:t>送温暖、献爱心</w:t>
      </w:r>
      <w:r>
        <w:rPr>
          <w:rFonts w:ascii="仿宋_GB2312" w:eastAsia="仿宋_GB2312" w:hAnsi="方正仿宋_GBK" w:cs="方正仿宋_GBK" w:hint="eastAsia"/>
          <w:sz w:val="30"/>
          <w:szCs w:val="30"/>
        </w:rPr>
        <w:t>”</w:t>
      </w:r>
      <w:r>
        <w:rPr>
          <w:rFonts w:ascii="仿宋_GB2312" w:eastAsia="仿宋_GB2312" w:hAnsi="方正仿宋_GBK" w:cs="方正仿宋_GBK" w:hint="eastAsia"/>
          <w:sz w:val="30"/>
          <w:szCs w:val="30"/>
        </w:rPr>
        <w:t>活动，困难群众家庭卫生状况和生产生活条件得到极大改善。扶</w:t>
      </w:r>
      <w:r>
        <w:rPr>
          <w:rFonts w:ascii="仿宋_GB2312" w:eastAsia="仿宋_GB2312" w:hAnsi="方正仿宋_GBK" w:cs="方正仿宋_GBK" w:hint="eastAsia"/>
          <w:sz w:val="30"/>
          <w:szCs w:val="30"/>
        </w:rPr>
        <w:t>“</w:t>
      </w:r>
      <w:r>
        <w:rPr>
          <w:rFonts w:ascii="仿宋_GB2312" w:eastAsia="仿宋_GB2312" w:hAnsi="方正仿宋_GBK" w:cs="方正仿宋_GBK" w:hint="eastAsia"/>
          <w:sz w:val="30"/>
          <w:szCs w:val="30"/>
        </w:rPr>
        <w:t>志</w:t>
      </w:r>
      <w:r>
        <w:rPr>
          <w:rFonts w:ascii="仿宋_GB2312" w:eastAsia="仿宋_GB2312" w:hAnsi="方正仿宋_GBK" w:cs="方正仿宋_GBK" w:hint="eastAsia"/>
          <w:sz w:val="30"/>
          <w:szCs w:val="30"/>
        </w:rPr>
        <w:t>”</w:t>
      </w:r>
      <w:r>
        <w:rPr>
          <w:rFonts w:ascii="仿宋_GB2312" w:eastAsia="仿宋_GB2312" w:hAnsi="方正仿宋_GBK" w:cs="方正仿宋_GBK" w:hint="eastAsia"/>
          <w:sz w:val="30"/>
          <w:szCs w:val="30"/>
        </w:rPr>
        <w:t>与扶</w:t>
      </w:r>
      <w:r>
        <w:rPr>
          <w:rFonts w:ascii="仿宋_GB2312" w:eastAsia="仿宋_GB2312" w:hAnsi="方正仿宋_GBK" w:cs="方正仿宋_GBK" w:hint="eastAsia"/>
          <w:sz w:val="30"/>
          <w:szCs w:val="30"/>
        </w:rPr>
        <w:t>“</w:t>
      </w:r>
      <w:r>
        <w:rPr>
          <w:rFonts w:ascii="仿宋_GB2312" w:eastAsia="仿宋_GB2312" w:hAnsi="方正仿宋_GBK" w:cs="方正仿宋_GBK" w:hint="eastAsia"/>
          <w:sz w:val="30"/>
          <w:szCs w:val="30"/>
        </w:rPr>
        <w:t>智</w:t>
      </w:r>
      <w:r>
        <w:rPr>
          <w:rFonts w:ascii="仿宋_GB2312" w:eastAsia="仿宋_GB2312" w:hAnsi="方正仿宋_GBK" w:cs="方正仿宋_GBK" w:hint="eastAsia"/>
          <w:sz w:val="30"/>
          <w:szCs w:val="30"/>
        </w:rPr>
        <w:t>”</w:t>
      </w:r>
      <w:r>
        <w:rPr>
          <w:rFonts w:ascii="仿宋_GB2312" w:eastAsia="仿宋_GB2312" w:hAnsi="方正仿宋_GBK" w:cs="方正仿宋_GBK" w:hint="eastAsia"/>
          <w:sz w:val="30"/>
          <w:szCs w:val="30"/>
        </w:rPr>
        <w:t>相结合，从根源上避免贫困代际传递。结合部门实际，全年累计投入173.85万元，实施经济林提质增效和发展林下种养植业。提供玉米种1335包、花荞种640公斤，苦荞种720公斤，复合肥47吨，火炉60个。</w:t>
      </w:r>
    </w:p>
    <w:p>
      <w:pPr>
        <w:adjustRightInd w:val="0"/>
        <w:snapToGrid w:val="0"/>
        <w:spacing w:line="360" w:lineRule="auto"/>
        <w:ind w:firstLine="600" w:firstLineChars="200"/>
        <w:rPr>
          <w:rFonts w:ascii="仿宋_GB2312" w:eastAsia="仿宋_GB2312" w:hint="eastAsia"/>
          <w:sz w:val="30"/>
          <w:szCs w:val="30"/>
        </w:rPr>
      </w:pPr>
      <w:r>
        <w:rPr>
          <w:rFonts w:ascii="仿宋_GB2312" w:eastAsia="仿宋_GB2312" w:hAnsi="方正仿宋_GBK" w:cs="方正仿宋_GBK" w:hint="eastAsia"/>
          <w:sz w:val="30"/>
          <w:szCs w:val="30"/>
        </w:rPr>
        <w:t>目前，全县</w:t>
      </w:r>
      <w:r>
        <w:rPr>
          <w:rFonts w:ascii="仿宋_GB2312" w:eastAsia="仿宋_GB2312" w:cs="FZBYSK--GBK1-0" w:hint="eastAsia"/>
          <w:sz w:val="30"/>
          <w:szCs w:val="30"/>
        </w:rPr>
        <w:t>现有核桃</w:t>
      </w:r>
      <w:r>
        <w:rPr>
          <w:rFonts w:ascii="仿宋_GB2312" w:eastAsia="仿宋_GB2312" w:cs="NEU-BZ-Regular" w:hint="eastAsia"/>
          <w:sz w:val="30"/>
          <w:szCs w:val="30"/>
        </w:rPr>
        <w:t>42.6</w:t>
      </w:r>
      <w:r>
        <w:rPr>
          <w:rFonts w:ascii="仿宋_GB2312" w:eastAsia="仿宋_GB2312" w:cs="FZBYSK--GBK1-0" w:hint="eastAsia"/>
          <w:sz w:val="30"/>
          <w:szCs w:val="30"/>
        </w:rPr>
        <w:t>万亩，其中人工种植泡核桃</w:t>
      </w:r>
      <w:r>
        <w:rPr>
          <w:rFonts w:ascii="仿宋_GB2312" w:eastAsia="仿宋_GB2312" w:cs="NEU-BZ-Regular" w:hint="eastAsia"/>
          <w:sz w:val="30"/>
          <w:szCs w:val="30"/>
        </w:rPr>
        <w:t xml:space="preserve">24.9 </w:t>
      </w:r>
      <w:r>
        <w:rPr>
          <w:rFonts w:ascii="仿宋_GB2312" w:eastAsia="仿宋_GB2312" w:cs="FZBYSK--GBK1-0" w:hint="eastAsia"/>
          <w:sz w:val="30"/>
          <w:szCs w:val="30"/>
        </w:rPr>
        <w:t>万亩，野生铁核桃</w:t>
      </w:r>
      <w:r>
        <w:rPr>
          <w:rFonts w:ascii="仿宋_GB2312" w:eastAsia="仿宋_GB2312" w:cs="NEU-BZ-Regular" w:hint="eastAsia"/>
          <w:sz w:val="30"/>
          <w:szCs w:val="30"/>
        </w:rPr>
        <w:t xml:space="preserve">17.7 </w:t>
      </w:r>
      <w:r>
        <w:rPr>
          <w:rFonts w:ascii="仿宋_GB2312" w:eastAsia="仿宋_GB2312" w:cs="FZBYSK--GBK1-0" w:hint="eastAsia"/>
          <w:sz w:val="30"/>
          <w:szCs w:val="30"/>
        </w:rPr>
        <w:t>万亩，年产量</w:t>
      </w:r>
      <w:r>
        <w:rPr>
          <w:rFonts w:ascii="仿宋_GB2312" w:eastAsia="仿宋_GB2312" w:cs="NEU-BZ-Regular" w:hint="eastAsia"/>
          <w:sz w:val="30"/>
          <w:szCs w:val="30"/>
        </w:rPr>
        <w:t>6000</w:t>
      </w:r>
      <w:r>
        <w:rPr>
          <w:rFonts w:ascii="仿宋_GB2312" w:eastAsia="仿宋_GB2312" w:cs="FZBYSK--GBK1-0" w:hint="eastAsia"/>
          <w:sz w:val="30"/>
          <w:szCs w:val="30"/>
        </w:rPr>
        <w:t>吨，年产值</w:t>
      </w:r>
      <w:r>
        <w:rPr>
          <w:rFonts w:ascii="仿宋_GB2312" w:eastAsia="仿宋_GB2312" w:cs="NEU-BZ-Regular" w:hint="eastAsia"/>
          <w:sz w:val="30"/>
          <w:szCs w:val="30"/>
        </w:rPr>
        <w:t>2400</w:t>
      </w:r>
      <w:r>
        <w:rPr>
          <w:rFonts w:ascii="仿宋_GB2312" w:eastAsia="仿宋_GB2312" w:cs="FZBYSK--GBK1-0" w:hint="eastAsia"/>
          <w:sz w:val="30"/>
          <w:szCs w:val="30"/>
        </w:rPr>
        <w:t>万元；共有漆树</w:t>
      </w:r>
      <w:r>
        <w:rPr>
          <w:rFonts w:ascii="仿宋_GB2312" w:eastAsia="仿宋_GB2312" w:cs="NEU-BZ-Regular" w:hint="eastAsia"/>
          <w:sz w:val="30"/>
          <w:szCs w:val="30"/>
        </w:rPr>
        <w:t>7</w:t>
      </w:r>
      <w:r>
        <w:rPr>
          <w:rFonts w:ascii="仿宋_GB2312" w:eastAsia="仿宋_GB2312" w:cs="FZBYSK--GBK1-0" w:hint="eastAsia"/>
          <w:sz w:val="30"/>
          <w:szCs w:val="30"/>
        </w:rPr>
        <w:t>万亩，其中人工种植</w:t>
      </w:r>
      <w:r>
        <w:rPr>
          <w:rFonts w:ascii="仿宋_GB2312" w:eastAsia="仿宋_GB2312" w:cs="NEU-BZ-Regular" w:hint="eastAsia"/>
          <w:sz w:val="30"/>
          <w:szCs w:val="30"/>
        </w:rPr>
        <w:t>4.5</w:t>
      </w:r>
      <w:r>
        <w:rPr>
          <w:rFonts w:ascii="仿宋_GB2312" w:eastAsia="仿宋_GB2312" w:cs="FZBYSK--GBK1-0" w:hint="eastAsia"/>
          <w:sz w:val="30"/>
          <w:szCs w:val="30"/>
        </w:rPr>
        <w:t>万亩，野生漆树</w:t>
      </w:r>
      <w:r>
        <w:rPr>
          <w:rFonts w:ascii="仿宋_GB2312" w:eastAsia="仿宋_GB2312" w:cs="NEU-BZ-Regular" w:hint="eastAsia"/>
          <w:sz w:val="30"/>
          <w:szCs w:val="30"/>
        </w:rPr>
        <w:t>2.5</w:t>
      </w:r>
      <w:r>
        <w:rPr>
          <w:rFonts w:ascii="仿宋_GB2312" w:eastAsia="仿宋_GB2312" w:cs="FZBYSK--GBK1-0" w:hint="eastAsia"/>
          <w:sz w:val="30"/>
          <w:szCs w:val="30"/>
        </w:rPr>
        <w:t>万亩，年产量</w:t>
      </w:r>
      <w:r>
        <w:rPr>
          <w:rFonts w:ascii="仿宋_GB2312" w:eastAsia="仿宋_GB2312" w:cs="NEU-BZ-Regular" w:hint="eastAsia"/>
          <w:sz w:val="30"/>
          <w:szCs w:val="30"/>
        </w:rPr>
        <w:t>272</w:t>
      </w:r>
      <w:r>
        <w:rPr>
          <w:rFonts w:ascii="仿宋_GB2312" w:eastAsia="仿宋_GB2312" w:cs="FZBYSK--GBK1-0" w:hint="eastAsia"/>
          <w:sz w:val="30"/>
          <w:szCs w:val="30"/>
        </w:rPr>
        <w:t>吨，产值</w:t>
      </w:r>
      <w:r>
        <w:rPr>
          <w:rFonts w:ascii="仿宋_GB2312" w:eastAsia="仿宋_GB2312" w:cs="NEU-BZ-Regular" w:hint="eastAsia"/>
          <w:sz w:val="30"/>
          <w:szCs w:val="30"/>
        </w:rPr>
        <w:t>1770</w:t>
      </w:r>
      <w:r>
        <w:rPr>
          <w:rFonts w:ascii="仿宋_GB2312" w:eastAsia="仿宋_GB2312" w:cs="FZBYSK--GBK1-0" w:hint="eastAsia"/>
          <w:sz w:val="30"/>
          <w:szCs w:val="30"/>
        </w:rPr>
        <w:t>万元；花椒</w:t>
      </w:r>
      <w:r>
        <w:rPr>
          <w:rFonts w:ascii="仿宋_GB2312" w:eastAsia="仿宋_GB2312" w:cs="NEU-BZ-Regular" w:hint="eastAsia"/>
          <w:sz w:val="30"/>
          <w:szCs w:val="30"/>
        </w:rPr>
        <w:t>5</w:t>
      </w:r>
      <w:r>
        <w:rPr>
          <w:rFonts w:ascii="仿宋_GB2312" w:eastAsia="仿宋_GB2312" w:cs="FZBYSK--GBK1-0" w:hint="eastAsia"/>
          <w:sz w:val="30"/>
          <w:szCs w:val="30"/>
        </w:rPr>
        <w:t>万亩，其中人工种植</w:t>
      </w:r>
      <w:r>
        <w:rPr>
          <w:rFonts w:ascii="仿宋_GB2312" w:eastAsia="仿宋_GB2312" w:cs="NEU-BZ-Regular" w:hint="eastAsia"/>
          <w:sz w:val="30"/>
          <w:szCs w:val="30"/>
        </w:rPr>
        <w:t>3</w:t>
      </w:r>
      <w:r>
        <w:rPr>
          <w:rFonts w:ascii="仿宋_GB2312" w:eastAsia="仿宋_GB2312" w:cs="FZBYSK--GBK1-0" w:hint="eastAsia"/>
          <w:sz w:val="30"/>
          <w:szCs w:val="30"/>
        </w:rPr>
        <w:t>万亩，野生花椒</w:t>
      </w:r>
      <w:r>
        <w:rPr>
          <w:rFonts w:ascii="仿宋_GB2312" w:eastAsia="仿宋_GB2312" w:cs="NEU-BZ-Regular" w:hint="eastAsia"/>
          <w:sz w:val="30"/>
          <w:szCs w:val="30"/>
        </w:rPr>
        <w:t xml:space="preserve">2 </w:t>
      </w:r>
      <w:r>
        <w:rPr>
          <w:rFonts w:ascii="仿宋_GB2312" w:eastAsia="仿宋_GB2312" w:cs="FZBYSK--GBK1-0" w:hint="eastAsia"/>
          <w:sz w:val="30"/>
          <w:szCs w:val="30"/>
        </w:rPr>
        <w:t>万亩，年产量</w:t>
      </w:r>
      <w:r>
        <w:rPr>
          <w:rFonts w:ascii="仿宋_GB2312" w:eastAsia="仿宋_GB2312" w:cs="NEU-BZ-Regular" w:hint="eastAsia"/>
          <w:sz w:val="30"/>
          <w:szCs w:val="30"/>
        </w:rPr>
        <w:t xml:space="preserve">39.4 </w:t>
      </w:r>
      <w:r>
        <w:rPr>
          <w:rFonts w:ascii="仿宋_GB2312" w:eastAsia="仿宋_GB2312" w:cs="FZBYSK--GBK1-0" w:hint="eastAsia"/>
          <w:sz w:val="30"/>
          <w:szCs w:val="30"/>
        </w:rPr>
        <w:t>吨，产值</w:t>
      </w:r>
      <w:r>
        <w:rPr>
          <w:rFonts w:ascii="仿宋_GB2312" w:eastAsia="仿宋_GB2312" w:cs="NEU-BZ-Regular" w:hint="eastAsia"/>
          <w:sz w:val="30"/>
          <w:szCs w:val="30"/>
        </w:rPr>
        <w:t>236</w:t>
      </w:r>
      <w:r>
        <w:rPr>
          <w:rFonts w:ascii="仿宋_GB2312" w:eastAsia="仿宋_GB2312" w:cs="FZBYSK--GBK1-0" w:hint="eastAsia"/>
          <w:sz w:val="30"/>
          <w:szCs w:val="30"/>
        </w:rPr>
        <w:t>万元；青刺果</w:t>
      </w:r>
      <w:r>
        <w:rPr>
          <w:rFonts w:ascii="仿宋_GB2312" w:eastAsia="仿宋_GB2312" w:cs="NEU-BZ-Regular" w:hint="eastAsia"/>
          <w:sz w:val="30"/>
          <w:szCs w:val="30"/>
        </w:rPr>
        <w:t>2.5</w:t>
      </w:r>
      <w:r>
        <w:rPr>
          <w:rFonts w:ascii="仿宋_GB2312" w:eastAsia="仿宋_GB2312" w:cs="FZBYSK--GBK1-0" w:hint="eastAsia"/>
          <w:sz w:val="30"/>
          <w:szCs w:val="30"/>
        </w:rPr>
        <w:t>万亩，其中人工种植</w:t>
      </w:r>
      <w:r>
        <w:rPr>
          <w:rFonts w:ascii="仿宋_GB2312" w:eastAsia="仿宋_GB2312" w:cs="NEU-BZ-Regular" w:hint="eastAsia"/>
          <w:sz w:val="30"/>
          <w:szCs w:val="30"/>
        </w:rPr>
        <w:t xml:space="preserve">1.5 </w:t>
      </w:r>
      <w:r>
        <w:rPr>
          <w:rFonts w:ascii="仿宋_GB2312" w:eastAsia="仿宋_GB2312" w:cs="FZBYSK--GBK1-0" w:hint="eastAsia"/>
          <w:sz w:val="30"/>
          <w:szCs w:val="30"/>
        </w:rPr>
        <w:t>万亩，野生青刺果</w:t>
      </w:r>
      <w:r>
        <w:rPr>
          <w:rFonts w:ascii="仿宋_GB2312" w:eastAsia="仿宋_GB2312" w:cs="NEU-BZ-Regular" w:hint="eastAsia"/>
          <w:sz w:val="30"/>
          <w:szCs w:val="30"/>
        </w:rPr>
        <w:t xml:space="preserve">1 </w:t>
      </w:r>
      <w:r>
        <w:rPr>
          <w:rFonts w:ascii="仿宋_GB2312" w:eastAsia="仿宋_GB2312" w:cs="FZBYSK--GBK1-0" w:hint="eastAsia"/>
          <w:sz w:val="30"/>
          <w:szCs w:val="30"/>
        </w:rPr>
        <w:t>万亩，年产量</w:t>
      </w:r>
      <w:r>
        <w:rPr>
          <w:rFonts w:ascii="仿宋_GB2312" w:eastAsia="仿宋_GB2312" w:cs="NEU-BZ-Regular" w:hint="eastAsia"/>
          <w:sz w:val="30"/>
          <w:szCs w:val="30"/>
        </w:rPr>
        <w:t>100</w:t>
      </w:r>
      <w:r>
        <w:rPr>
          <w:rFonts w:ascii="仿宋_GB2312" w:eastAsia="仿宋_GB2312" w:cs="FZBYSK--GBK1-0" w:hint="eastAsia"/>
          <w:sz w:val="30"/>
          <w:szCs w:val="30"/>
        </w:rPr>
        <w:t>吨，产值</w:t>
      </w:r>
      <w:r>
        <w:rPr>
          <w:rFonts w:ascii="仿宋_GB2312" w:eastAsia="仿宋_GB2312" w:cs="NEU-BZ-Regular" w:hint="eastAsia"/>
          <w:sz w:val="30"/>
          <w:szCs w:val="30"/>
        </w:rPr>
        <w:t>300</w:t>
      </w:r>
      <w:r>
        <w:rPr>
          <w:rFonts w:ascii="仿宋_GB2312" w:eastAsia="仿宋_GB2312" w:cs="FZBYSK--GBK1-0" w:hint="eastAsia"/>
          <w:sz w:val="30"/>
          <w:szCs w:val="30"/>
        </w:rPr>
        <w:t>万元。</w:t>
      </w:r>
      <w:r>
        <w:rPr>
          <w:rFonts w:ascii="仿宋_GB2312" w:eastAsia="仿宋_GB2312" w:hint="eastAsia"/>
          <w:sz w:val="30"/>
          <w:szCs w:val="30"/>
        </w:rPr>
        <w:t>林业生态扶贫工程成效凸显。</w:t>
      </w:r>
    </w:p>
    <w:p>
      <w:pPr>
        <w:adjustRightInd w:val="0"/>
        <w:snapToGrid w:val="0"/>
        <w:spacing w:line="360" w:lineRule="auto"/>
        <w:ind w:firstLine="600" w:firstLineChars="200"/>
        <w:rPr>
          <w:rFonts w:ascii="仿宋_GB2312" w:eastAsia="仿宋_GB2312" w:hint="eastAsia"/>
          <w:b/>
          <w:sz w:val="30"/>
          <w:szCs w:val="30"/>
        </w:rPr>
      </w:pPr>
      <w:r>
        <w:rPr>
          <w:rFonts w:ascii="仿宋_GB2312" w:eastAsia="仿宋_GB2312" w:hint="eastAsia"/>
          <w:b/>
          <w:sz w:val="30"/>
          <w:szCs w:val="30"/>
        </w:rPr>
        <w:t>5、不断夯实林业发展基础，支撑保障能力稳步增强</w:t>
      </w:r>
    </w:p>
    <w:p>
      <w:pPr>
        <w:adjustRightInd w:val="0"/>
        <w:snapToGrid w:val="0"/>
        <w:spacing w:line="360" w:lineRule="auto"/>
        <w:ind w:firstLine="600" w:firstLineChars="200"/>
        <w:rPr>
          <w:rFonts w:ascii="仿宋_GB2312" w:eastAsia="仿宋_GB2312" w:hAnsi="仿宋" w:hint="eastAsia"/>
          <w:sz w:val="30"/>
          <w:szCs w:val="30"/>
        </w:rPr>
      </w:pPr>
      <w:r>
        <w:rPr>
          <w:rFonts w:ascii="仿宋_GB2312" w:eastAsia="仿宋_GB2312" w:hint="eastAsia"/>
          <w:sz w:val="30"/>
          <w:szCs w:val="30"/>
        </w:rPr>
        <w:t>开展</w:t>
      </w:r>
      <w:r>
        <w:rPr>
          <w:rFonts w:ascii="仿宋_GB2312" w:eastAsia="仿宋_GB2312" w:hint="eastAsia"/>
          <w:sz w:val="30"/>
          <w:szCs w:val="30"/>
        </w:rPr>
        <w:t>“</w:t>
      </w:r>
      <w:r>
        <w:rPr>
          <w:rFonts w:ascii="仿宋_GB2312" w:eastAsia="仿宋_GB2312" w:hint="eastAsia"/>
          <w:sz w:val="30"/>
          <w:szCs w:val="30"/>
        </w:rPr>
        <w:t>依法治理、依法行政</w:t>
      </w:r>
      <w:r>
        <w:rPr>
          <w:rFonts w:ascii="仿宋_GB2312" w:eastAsia="仿宋_GB2312" w:hint="eastAsia"/>
          <w:sz w:val="30"/>
          <w:szCs w:val="30"/>
        </w:rPr>
        <w:t>”</w:t>
      </w:r>
      <w:r>
        <w:rPr>
          <w:rFonts w:ascii="仿宋_GB2312" w:eastAsia="仿宋_GB2312" w:hAnsi="仿宋" w:cs="仿宋" w:hint="eastAsia"/>
          <w:sz w:val="30"/>
          <w:szCs w:val="30"/>
        </w:rPr>
        <w:t>“</w:t>
      </w:r>
      <w:r>
        <w:rPr>
          <w:rFonts w:ascii="仿宋_GB2312" w:eastAsia="仿宋_GB2312" w:hAnsi="仿宋" w:cs="仿宋" w:hint="eastAsia"/>
          <w:sz w:val="30"/>
          <w:szCs w:val="30"/>
        </w:rPr>
        <w:t>涉林刑事案件的立案与处罚规定</w:t>
      </w:r>
      <w:r>
        <w:rPr>
          <w:rFonts w:ascii="仿宋_GB2312" w:eastAsia="仿宋_GB2312" w:hAnsi="仿宋" w:cs="仿宋" w:hint="eastAsia"/>
          <w:sz w:val="30"/>
          <w:szCs w:val="30"/>
        </w:rPr>
        <w:t>”</w:t>
      </w:r>
      <w:r>
        <w:rPr>
          <w:rFonts w:ascii="仿宋_GB2312" w:eastAsia="仿宋_GB2312" w:hint="eastAsia"/>
          <w:sz w:val="30"/>
          <w:szCs w:val="30"/>
        </w:rPr>
        <w:t>“</w:t>
      </w:r>
      <w:r>
        <w:rPr>
          <w:rFonts w:ascii="仿宋_GB2312" w:eastAsia="仿宋_GB2312" w:hint="eastAsia"/>
          <w:sz w:val="30"/>
          <w:szCs w:val="30"/>
        </w:rPr>
        <w:t>预防职务犯罪</w:t>
      </w:r>
      <w:r>
        <w:rPr>
          <w:rFonts w:ascii="仿宋_GB2312" w:eastAsia="仿宋_GB2312" w:hint="eastAsia"/>
          <w:sz w:val="30"/>
          <w:szCs w:val="30"/>
        </w:rPr>
        <w:t>”“</w:t>
      </w:r>
      <w:r>
        <w:rPr>
          <w:rFonts w:ascii="仿宋_GB2312" w:eastAsia="仿宋_GB2312" w:hint="eastAsia"/>
          <w:sz w:val="30"/>
          <w:szCs w:val="30"/>
        </w:rPr>
        <w:t>七五普法</w:t>
      </w:r>
      <w:r>
        <w:rPr>
          <w:rFonts w:ascii="仿宋_GB2312" w:eastAsia="仿宋_GB2312" w:hint="eastAsia"/>
          <w:sz w:val="30"/>
          <w:szCs w:val="30"/>
        </w:rPr>
        <w:t>”</w:t>
      </w:r>
      <w:r>
        <w:rPr>
          <w:rFonts w:ascii="仿宋_GB2312" w:eastAsia="仿宋_GB2312" w:hint="eastAsia"/>
          <w:sz w:val="30"/>
          <w:szCs w:val="30"/>
        </w:rPr>
        <w:t>等专题讲座及林业法律法规知识培训20场，3000余人次，林业行政执法更加规范，社会公众林业法律意识进一步增强。</w:t>
      </w:r>
      <w:r>
        <w:rPr>
          <w:rFonts w:ascii="仿宋_GB2312" w:eastAsia="仿宋_GB2312" w:hAnsi="仿宋" w:cs="仿宋" w:hint="eastAsia"/>
          <w:sz w:val="30"/>
          <w:szCs w:val="30"/>
        </w:rPr>
        <w:t>邀请省林科院专家开展深度贫困脱贫攻坚林业产业项目技术培训180人次，</w:t>
      </w:r>
      <w:r>
        <w:rPr>
          <w:rFonts w:ascii="仿宋_GB2312" w:eastAsia="仿宋_GB2312" w:hAnsi="仿宋" w:hint="eastAsia"/>
          <w:sz w:val="30"/>
          <w:szCs w:val="30"/>
        </w:rPr>
        <w:t>使参训人员</w:t>
      </w:r>
      <w:r>
        <w:rPr>
          <w:rFonts w:ascii="仿宋_GB2312" w:eastAsia="仿宋_GB2312" w:hAnsi="仿宋" w:cs="仿宋" w:hint="eastAsia"/>
          <w:sz w:val="30"/>
          <w:szCs w:val="30"/>
        </w:rPr>
        <w:t>掌握了栽培管理技术，坚定了发展林业产业的信心和决心。</w:t>
      </w:r>
      <w:r>
        <w:rPr>
          <w:rFonts w:ascii="仿宋_GB2312" w:eastAsia="仿宋_GB2312" w:hint="eastAsia"/>
          <w:sz w:val="30"/>
          <w:szCs w:val="30"/>
        </w:rPr>
        <w:t>围绕</w:t>
      </w:r>
      <w:r>
        <w:rPr>
          <w:rFonts w:ascii="仿宋_GB2312" w:eastAsia="仿宋_GB2312" w:hint="eastAsia"/>
          <w:sz w:val="30"/>
          <w:szCs w:val="30"/>
        </w:rPr>
        <w:t>“</w:t>
      </w:r>
      <w:r>
        <w:rPr>
          <w:rFonts w:ascii="仿宋_GB2312" w:eastAsia="仿宋_GB2312" w:hint="eastAsia"/>
          <w:sz w:val="30"/>
          <w:szCs w:val="30"/>
        </w:rPr>
        <w:t>为林权制度改革和现代林业建设服务</w:t>
      </w:r>
      <w:r>
        <w:rPr>
          <w:rFonts w:ascii="仿宋_GB2312" w:eastAsia="仿宋_GB2312" w:hint="eastAsia"/>
          <w:sz w:val="30"/>
          <w:szCs w:val="30"/>
        </w:rPr>
        <w:t>”</w:t>
      </w:r>
      <w:r>
        <w:rPr>
          <w:rFonts w:ascii="仿宋_GB2312" w:eastAsia="仿宋_GB2312" w:hint="eastAsia"/>
          <w:sz w:val="30"/>
          <w:szCs w:val="30"/>
        </w:rPr>
        <w:t>主题，开展送科技下乡活动，发放技术手册、资料5000多份，举办科普讲座12场，培训基层技术人员和林农群众1200人次。培训中职及本科以上科普兼职人员24人。自筹年度科普经费35万元，制作科普光盘38000张。</w:t>
      </w:r>
      <w:r>
        <w:rPr>
          <w:rFonts w:ascii="仿宋_GB2312" w:eastAsia="仿宋_GB2312" w:hAnsi="楷体_GB2312" w:hint="eastAsia"/>
          <w:sz w:val="30"/>
          <w:szCs w:val="30"/>
        </w:rPr>
        <w:t>开展林业生态扶贫政策宣传及项目技能培训30期，6000多人次。</w:t>
      </w:r>
      <w:r>
        <w:rPr>
          <w:rFonts w:ascii="仿宋_GB2312" w:eastAsia="仿宋_GB2312" w:hint="eastAsia"/>
          <w:sz w:val="30"/>
          <w:szCs w:val="30"/>
        </w:rPr>
        <w:t>通过广大林业科技工作者深入林业生产第一线传播林业科技成果，普及林业科学知识，加速了林业科技成果的推广应用</w:t>
      </w:r>
      <w:r>
        <w:rPr>
          <w:rFonts w:ascii="仿宋_GB2312" w:eastAsia="仿宋_GB2312" w:hAnsi="仿宋" w:hint="eastAsia"/>
          <w:sz w:val="30"/>
          <w:szCs w:val="30"/>
        </w:rPr>
        <w:t>，提高了</w:t>
      </w:r>
      <w:r>
        <w:rPr>
          <w:rFonts w:ascii="仿宋_GB2312" w:eastAsia="仿宋_GB2312" w:hint="eastAsia"/>
          <w:sz w:val="30"/>
          <w:szCs w:val="30"/>
        </w:rPr>
        <w:t>林业科技成果转化率和科技进步贡献率。各级党委政府对林业支持力度不断增大。林业金融创新取得重大突破，</w:t>
      </w:r>
      <w:r>
        <w:rPr>
          <w:rFonts w:ascii="仿宋_GB2312" w:eastAsia="仿宋_GB2312" w:hAnsi="ˎ̥" w:hint="eastAsia"/>
          <w:sz w:val="30"/>
          <w:szCs w:val="30"/>
        </w:rPr>
        <w:t>完成新增林业项目贴息贷款2户，共800万元。林业职工个人贴息贷款8户，共250万。兑现今年三季度林业贴息资金67.18万元</w:t>
      </w:r>
      <w:r>
        <w:rPr>
          <w:rFonts w:ascii="仿宋_GB2312" w:eastAsia="仿宋_GB2312" w:hint="eastAsia"/>
          <w:sz w:val="30"/>
          <w:szCs w:val="30"/>
        </w:rPr>
        <w:t>。加强职工教育培训，从严从实、公平公正抓好职称评聘工作，机构和人员队伍保持稳定，履职能力稳步提高。高度重视</w:t>
      </w:r>
      <w:r>
        <w:rPr>
          <w:rFonts w:ascii="仿宋_GB2312" w:eastAsia="仿宋_GB2312" w:hint="eastAsia"/>
          <w:sz w:val="30"/>
          <w:szCs w:val="30"/>
        </w:rPr>
        <w:t>“</w:t>
      </w:r>
      <w:r>
        <w:rPr>
          <w:rFonts w:ascii="仿宋_GB2312" w:eastAsia="仿宋_GB2312" w:hint="eastAsia"/>
          <w:sz w:val="30"/>
          <w:szCs w:val="30"/>
        </w:rPr>
        <w:t>平安林区</w:t>
      </w:r>
      <w:r>
        <w:rPr>
          <w:rFonts w:ascii="仿宋_GB2312" w:eastAsia="仿宋_GB2312" w:hint="eastAsia"/>
          <w:sz w:val="30"/>
          <w:szCs w:val="30"/>
        </w:rPr>
        <w:t>”</w:t>
      </w:r>
      <w:r>
        <w:rPr>
          <w:rFonts w:ascii="仿宋_GB2312" w:eastAsia="仿宋_GB2312" w:hint="eastAsia"/>
          <w:sz w:val="30"/>
          <w:szCs w:val="30"/>
        </w:rPr>
        <w:t>建设，做好信访及人大建议、政协提案答复工作，及时解决群众最关心的热点难点问题。充分发挥工青妇职能作用，提高履职能力。加大目标责任督导检查力度，加强普法、行政执法评议等工作，为林业改革发展提供了有力保障。</w:t>
      </w:r>
    </w:p>
    <w:p>
      <w:pPr>
        <w:adjustRightInd w:val="0"/>
        <w:snapToGrid w:val="0"/>
        <w:spacing w:line="360" w:lineRule="auto"/>
        <w:ind w:firstLine="600" w:firstLineChars="200"/>
        <w:rPr>
          <w:rFonts w:ascii="仿宋_GB2312" w:eastAsia="仿宋_GB2312" w:hint="eastAsia"/>
          <w:b/>
          <w:sz w:val="30"/>
          <w:szCs w:val="30"/>
        </w:rPr>
      </w:pPr>
      <w:r>
        <w:rPr>
          <w:rFonts w:ascii="仿宋_GB2312" w:eastAsia="仿宋_GB2312" w:hint="eastAsia"/>
          <w:b/>
          <w:sz w:val="30"/>
          <w:szCs w:val="30"/>
        </w:rPr>
        <w:t>6、大力弘扬生态文明理念，林业社会影响力显著提升</w:t>
      </w:r>
    </w:p>
    <w:p>
      <w:pPr>
        <w:adjustRightInd w:val="0"/>
        <w:snapToGrid w:val="0"/>
        <w:spacing w:line="360" w:lineRule="auto"/>
        <w:ind w:firstLine="600" w:firstLineChars="200"/>
        <w:rPr>
          <w:rFonts w:ascii="仿宋_GB2312" w:eastAsia="仿宋_GB2312" w:hint="eastAsia"/>
          <w:sz w:val="30"/>
          <w:szCs w:val="30"/>
        </w:rPr>
      </w:pPr>
      <w:r>
        <w:rPr>
          <w:rFonts w:ascii="仿宋_GB2312" w:eastAsia="仿宋_GB2312" w:hint="eastAsia"/>
          <w:sz w:val="30"/>
          <w:szCs w:val="30"/>
        </w:rPr>
        <w:t>一年来，我们对林业进行了全方位、多角度、深层次的宣传报道，组织开展一系列主题宣传活动，深入学习林业先进典型，弘扬生态文明建设正能量。各乡镇以</w:t>
      </w:r>
      <w:r>
        <w:rPr>
          <w:rFonts w:ascii="仿宋_GB2312" w:eastAsia="仿宋_GB2312" w:hint="eastAsia"/>
          <w:sz w:val="30"/>
          <w:szCs w:val="30"/>
        </w:rPr>
        <w:t>“</w:t>
      </w:r>
      <w:r>
        <w:rPr>
          <w:rFonts w:ascii="仿宋_GB2312" w:eastAsia="仿宋_GB2312" w:hint="eastAsia"/>
          <w:sz w:val="30"/>
          <w:szCs w:val="30"/>
        </w:rPr>
        <w:t>爱鸟周</w:t>
      </w:r>
      <w:r>
        <w:rPr>
          <w:rFonts w:ascii="仿宋_GB2312" w:eastAsia="仿宋_GB2312" w:hint="eastAsia"/>
          <w:sz w:val="30"/>
          <w:szCs w:val="30"/>
        </w:rPr>
        <w:t>”</w:t>
      </w:r>
      <w:r>
        <w:rPr>
          <w:rFonts w:ascii="仿宋_GB2312" w:eastAsia="仿宋_GB2312" w:hint="eastAsia"/>
          <w:sz w:val="30"/>
          <w:szCs w:val="30"/>
        </w:rPr>
        <w:t>为载体，倡导人与自然和谐共生理念。在中小学校举办以</w:t>
      </w:r>
      <w:r>
        <w:rPr>
          <w:rFonts w:ascii="仿宋_GB2312" w:eastAsia="仿宋_GB2312" w:hint="eastAsia"/>
          <w:sz w:val="30"/>
          <w:szCs w:val="30"/>
        </w:rPr>
        <w:t>“</w:t>
      </w:r>
      <w:r>
        <w:rPr>
          <w:rFonts w:ascii="仿宋_GB2312" w:eastAsia="仿宋_GB2312" w:hint="eastAsia"/>
          <w:sz w:val="30"/>
          <w:szCs w:val="30"/>
        </w:rPr>
        <w:t>人与自然</w:t>
      </w:r>
      <w:r>
        <w:rPr>
          <w:rFonts w:ascii="仿宋_GB2312" w:eastAsia="仿宋_GB2312" w:hint="eastAsia"/>
          <w:sz w:val="30"/>
          <w:szCs w:val="30"/>
        </w:rPr>
        <w:t>”</w:t>
      </w:r>
      <w:r>
        <w:rPr>
          <w:rFonts w:ascii="仿宋_GB2312" w:eastAsia="仿宋_GB2312" w:hint="eastAsia"/>
          <w:sz w:val="30"/>
          <w:szCs w:val="30"/>
        </w:rPr>
        <w:t>为主题的作文竞赛活动。以</w:t>
      </w:r>
      <w:r>
        <w:rPr>
          <w:rFonts w:ascii="仿宋_GB2312" w:eastAsia="仿宋_GB2312" w:hint="eastAsia"/>
          <w:sz w:val="30"/>
          <w:szCs w:val="30"/>
        </w:rPr>
        <w:t>“</w:t>
      </w:r>
      <w:r>
        <w:rPr>
          <w:rFonts w:ascii="仿宋_GB2312" w:eastAsia="仿宋_GB2312" w:hint="eastAsia"/>
          <w:sz w:val="30"/>
          <w:szCs w:val="30"/>
        </w:rPr>
        <w:t>传播生态文化，弘扬生态文明</w:t>
      </w:r>
      <w:r>
        <w:rPr>
          <w:rFonts w:ascii="仿宋_GB2312" w:eastAsia="仿宋_GB2312" w:hint="eastAsia"/>
          <w:sz w:val="30"/>
          <w:szCs w:val="30"/>
        </w:rPr>
        <w:t>”</w:t>
      </w:r>
      <w:r>
        <w:rPr>
          <w:rFonts w:ascii="仿宋_GB2312" w:eastAsia="仿宋_GB2312" w:hint="eastAsia"/>
          <w:sz w:val="30"/>
          <w:szCs w:val="30"/>
        </w:rPr>
        <w:t>为主题，制作并展出以生态文化、名木古树和珍稀动物、世界自然遗产文化、湿地保护为主要内容的宣传展板100多块，开展知识竞答，吸引了社会各界的广泛参与。加强林业宣传和信息报送工作。</w:t>
      </w:r>
      <w:r>
        <w:rPr>
          <w:rFonts w:ascii="仿宋_GB2312" w:eastAsia="仿宋_GB2312" w:hint="eastAsia"/>
          <w:color w:val="000000"/>
          <w:sz w:val="30"/>
          <w:szCs w:val="30"/>
        </w:rPr>
        <w:t>在《迪庆日报》《云南日报》、香格里拉新闻网、省林业厅门户网站等媒体宣传报道林业工作共90篇。向县委、县人民政府办公室报送信息80篇。</w:t>
      </w:r>
      <w:r>
        <w:rPr>
          <w:rFonts w:ascii="仿宋_GB2312" w:eastAsia="仿宋_GB2312" w:hint="eastAsia"/>
          <w:sz w:val="30"/>
          <w:szCs w:val="30"/>
        </w:rPr>
        <w:t>实践证明，广泛深入的林业宣传活动，推动了生态文明理念深入人心，全社会对林业的认识不断深化，关心林业、保护生态的自觉性明显增强，林业改革发展氛围越来越好。</w:t>
      </w:r>
    </w:p>
    <w:p>
      <w:pPr>
        <w:adjustRightInd w:val="0"/>
        <w:snapToGrid w:val="0"/>
        <w:spacing w:line="360" w:lineRule="auto"/>
        <w:ind w:firstLine="600" w:firstLineChars="200"/>
        <w:rPr>
          <w:rFonts w:ascii="仿宋_GB2312" w:eastAsia="仿宋_GB2312" w:hAnsi="黑体" w:hint="eastAsia"/>
          <w:b/>
          <w:sz w:val="30"/>
          <w:szCs w:val="30"/>
        </w:rPr>
      </w:pPr>
      <w:r>
        <w:rPr>
          <w:rFonts w:ascii="仿宋_GB2312" w:eastAsia="仿宋_GB2312" w:hint="eastAsia"/>
          <w:b/>
          <w:sz w:val="30"/>
          <w:szCs w:val="30"/>
        </w:rPr>
        <w:t>7、</w:t>
      </w:r>
      <w:r>
        <w:rPr>
          <w:rFonts w:ascii="仿宋_GB2312" w:eastAsia="仿宋_GB2312" w:hAnsi="黑体" w:hint="eastAsia"/>
          <w:b/>
          <w:sz w:val="30"/>
          <w:szCs w:val="30"/>
        </w:rPr>
        <w:t>切实加强问题整改落实，</w:t>
      </w:r>
      <w:r>
        <w:rPr>
          <w:rFonts w:ascii="仿宋_GB2312" w:eastAsia="仿宋_GB2312" w:hint="eastAsia"/>
          <w:b/>
          <w:sz w:val="30"/>
          <w:szCs w:val="30"/>
        </w:rPr>
        <w:t>林业事业实现健康发展</w:t>
      </w:r>
    </w:p>
    <w:p>
      <w:pPr>
        <w:adjustRightInd w:val="0"/>
        <w:snapToGrid w:val="0"/>
        <w:spacing w:line="360" w:lineRule="auto"/>
        <w:ind w:firstLine="600" w:firstLineChars="200"/>
        <w:rPr>
          <w:rFonts w:ascii="仿宋_GB2312" w:eastAsia="仿宋_GB2312" w:hint="eastAsia"/>
          <w:sz w:val="32"/>
          <w:szCs w:val="32"/>
        </w:rPr>
      </w:pPr>
      <w:r>
        <w:rPr>
          <w:rFonts w:ascii="仿宋_GB2312" w:eastAsia="仿宋_GB2312" w:hint="eastAsia"/>
          <w:sz w:val="30"/>
          <w:szCs w:val="30"/>
        </w:rPr>
        <w:t>征对县委第五轮第四巡察组及各级检查组对我局巡察、检查反馈问题，局党委和领导班子以刀刃向内、刮骨疗毒的政治勇气和政治担当，严肃整改。以落实整改、促进工作为切入点，解决突出问题，把巡察、检查反馈的意见作为从严管党治党、改进作风、推动工作、促进发展的重要手段，着力推动党建、党风廉政建设等工作。进一步规范党委班子中心组学习制度，抓好干部职工的理论学习，促使党内生活逐渐步入规范化、制度化轨道。严格执行民主集中制和</w:t>
      </w:r>
      <w:r>
        <w:rPr>
          <w:rFonts w:ascii="仿宋_GB2312" w:eastAsia="仿宋_GB2312" w:hint="eastAsia"/>
          <w:sz w:val="30"/>
          <w:szCs w:val="30"/>
        </w:rPr>
        <w:t>“</w:t>
      </w:r>
      <w:r>
        <w:rPr>
          <w:rFonts w:ascii="仿宋_GB2312" w:eastAsia="仿宋_GB2312" w:hint="eastAsia"/>
          <w:sz w:val="30"/>
          <w:szCs w:val="30"/>
        </w:rPr>
        <w:t>三重一大</w:t>
      </w:r>
      <w:r>
        <w:rPr>
          <w:rFonts w:ascii="仿宋_GB2312" w:eastAsia="仿宋_GB2312" w:hint="eastAsia"/>
          <w:sz w:val="30"/>
          <w:szCs w:val="30"/>
        </w:rPr>
        <w:t>”</w:t>
      </w:r>
      <w:r>
        <w:rPr>
          <w:rFonts w:ascii="仿宋_GB2312" w:eastAsia="仿宋_GB2312" w:hint="eastAsia"/>
          <w:sz w:val="30"/>
          <w:szCs w:val="30"/>
        </w:rPr>
        <w:t>议事决策机制。自觉接受派驻纪检组的监督。进一步加强对党支部的领导和业务指导工作。切实履行好党委主体责任，加强党的基层组织建设，重视党务工作，防止出现党建和业务</w:t>
      </w:r>
      <w:r>
        <w:rPr>
          <w:rFonts w:ascii="仿宋_GB2312" w:eastAsia="仿宋_GB2312" w:hint="eastAsia"/>
          <w:sz w:val="30"/>
          <w:szCs w:val="30"/>
        </w:rPr>
        <w:t>“</w:t>
      </w:r>
      <w:r>
        <w:rPr>
          <w:rFonts w:ascii="仿宋_GB2312" w:eastAsia="仿宋_GB2312" w:hint="eastAsia"/>
          <w:sz w:val="30"/>
          <w:szCs w:val="30"/>
        </w:rPr>
        <w:t>两张皮</w:t>
      </w:r>
      <w:r>
        <w:rPr>
          <w:rFonts w:ascii="仿宋_GB2312" w:eastAsia="仿宋_GB2312" w:hint="eastAsia"/>
          <w:sz w:val="30"/>
          <w:szCs w:val="30"/>
        </w:rPr>
        <w:t>”</w:t>
      </w:r>
      <w:r>
        <w:rPr>
          <w:rFonts w:ascii="仿宋_GB2312" w:eastAsia="仿宋_GB2312" w:hint="eastAsia"/>
          <w:sz w:val="30"/>
          <w:szCs w:val="30"/>
        </w:rPr>
        <w:t>现象。严格按照相关规定和要求，进一步完善《维西县林业局固定资产管理制度》《维西县林业局车辆管理制度》及相关规章制度。严格执行中央</w:t>
      </w:r>
      <w:r>
        <w:rPr>
          <w:rFonts w:ascii="仿宋_GB2312" w:eastAsia="仿宋_GB2312" w:hint="eastAsia"/>
          <w:sz w:val="30"/>
          <w:szCs w:val="30"/>
        </w:rPr>
        <w:t>“</w:t>
      </w:r>
      <w:r>
        <w:rPr>
          <w:rFonts w:ascii="仿宋_GB2312" w:eastAsia="仿宋_GB2312" w:hint="eastAsia"/>
          <w:sz w:val="30"/>
          <w:szCs w:val="30"/>
        </w:rPr>
        <w:t>八项规定</w:t>
      </w:r>
      <w:r>
        <w:rPr>
          <w:rFonts w:ascii="仿宋_GB2312" w:eastAsia="仿宋_GB2312" w:hint="eastAsia"/>
          <w:sz w:val="30"/>
          <w:szCs w:val="30"/>
        </w:rPr>
        <w:t>”</w:t>
      </w:r>
      <w:r>
        <w:rPr>
          <w:rFonts w:ascii="仿宋_GB2312" w:eastAsia="仿宋_GB2312" w:hint="eastAsia"/>
          <w:sz w:val="30"/>
          <w:szCs w:val="30"/>
        </w:rPr>
        <w:t>，进一步规范公务接待，严格执行《林业局机关接待报销制度》。深入基层开展督查督导工作，加强对重点领域和关键环节的监督。强化森林资源管护、营造林质量、林业工程资金管理等工作的监督检查。加强对林业行政执法的监督。对全县林木采伐、木材运输、征占用林地审核审批等行政执法行为开展监督检查。</w:t>
      </w:r>
    </w:p>
    <w:p>
      <w:pPr>
        <w:spacing w:line="600" w:lineRule="exact"/>
        <w:ind w:firstLine="600" w:firstLineChars="200"/>
        <w:rPr>
          <w:rFonts w:ascii="黑体" w:eastAsia="黑体" w:hAnsi="黑体" w:hint="eastAsia"/>
          <w:sz w:val="30"/>
          <w:szCs w:val="30"/>
        </w:rPr>
      </w:pPr>
      <w:r>
        <w:rPr>
          <w:rFonts w:ascii="黑体" w:eastAsia="黑体" w:hAnsi="黑体" w:hint="eastAsia"/>
          <w:sz w:val="30"/>
          <w:szCs w:val="30"/>
        </w:rPr>
        <w:t>二、部门基本情况</w:t>
      </w:r>
    </w:p>
    <w:p>
      <w:pPr>
        <w:spacing w:line="600" w:lineRule="exact"/>
        <w:ind w:firstLine="600" w:firstLineChars="200"/>
        <w:rPr>
          <w:rFonts w:ascii="楷体" w:eastAsia="楷体" w:hAnsi="楷体" w:hint="eastAsia"/>
          <w:sz w:val="30"/>
          <w:szCs w:val="30"/>
        </w:rPr>
      </w:pPr>
      <w:r>
        <w:rPr>
          <w:rFonts w:ascii="楷体" w:eastAsia="楷体" w:hAnsi="楷体" w:hint="eastAsia"/>
          <w:sz w:val="30"/>
          <w:szCs w:val="30"/>
        </w:rPr>
        <w:t>（一）部门决算单位构成</w:t>
      </w:r>
    </w:p>
    <w:p>
      <w:pPr>
        <w:ind w:firstLine="600" w:firstLineChars="200"/>
        <w:rPr>
          <w:rFonts w:ascii="仿宋_GB2312" w:eastAsia="仿宋_GB2312" w:hint="eastAsia"/>
          <w:sz w:val="30"/>
          <w:szCs w:val="30"/>
        </w:rPr>
      </w:pPr>
      <w:r>
        <w:rPr>
          <w:rFonts w:ascii="仿宋_GB2312" w:eastAsia="仿宋_GB2312" w:hint="eastAsia"/>
          <w:sz w:val="30"/>
          <w:szCs w:val="30"/>
        </w:rPr>
        <w:t>纳入</w:t>
      </w:r>
      <w:r>
        <w:rPr>
          <w:rFonts w:ascii="仿宋_GB2312" w:eastAsia="仿宋_GB2312" w:hint="eastAsia"/>
          <w:sz w:val="30"/>
          <w:szCs w:val="30"/>
          <w:lang w:eastAsia="zh-CN"/>
        </w:rPr>
        <w:t>维西县林业局</w:t>
      </w:r>
      <w:r>
        <w:rPr>
          <w:rFonts w:ascii="仿宋_GB2312" w:eastAsia="仿宋_GB2312" w:hint="eastAsia"/>
          <w:sz w:val="30"/>
          <w:szCs w:val="30"/>
          <w:lang w:val="en-US" w:eastAsia="zh-CN"/>
        </w:rPr>
        <w:t>2018</w:t>
      </w:r>
      <w:r>
        <w:rPr>
          <w:rFonts w:ascii="仿宋_GB2312" w:eastAsia="仿宋_GB2312" w:hint="eastAsia"/>
          <w:sz w:val="30"/>
          <w:szCs w:val="30"/>
        </w:rPr>
        <w:t>年度部门决算编报的单位共</w:t>
      </w:r>
      <w:r>
        <w:rPr>
          <w:rFonts w:ascii="仿宋_GB2312" w:eastAsia="仿宋_GB2312" w:hint="eastAsia"/>
          <w:sz w:val="30"/>
          <w:szCs w:val="30"/>
          <w:lang w:val="en-US" w:eastAsia="zh-CN"/>
        </w:rPr>
        <w:t>1</w:t>
      </w:r>
      <w:r>
        <w:rPr>
          <w:rFonts w:ascii="仿宋_GB2312" w:eastAsia="仿宋_GB2312" w:hint="eastAsia"/>
          <w:sz w:val="30"/>
          <w:szCs w:val="30"/>
        </w:rPr>
        <w:t>个。其中：行政单位</w:t>
      </w:r>
      <w:r>
        <w:rPr>
          <w:rFonts w:ascii="仿宋_GB2312" w:eastAsia="仿宋_GB2312" w:hint="eastAsia"/>
          <w:sz w:val="30"/>
          <w:szCs w:val="30"/>
          <w:lang w:val="en-US" w:eastAsia="zh-CN"/>
        </w:rPr>
        <w:t>1</w:t>
      </w:r>
      <w:r>
        <w:rPr>
          <w:rFonts w:ascii="仿宋_GB2312" w:eastAsia="仿宋_GB2312" w:hint="eastAsia"/>
          <w:sz w:val="30"/>
          <w:szCs w:val="30"/>
        </w:rPr>
        <w:t>个，参照公务员法管理的事业单位</w:t>
      </w:r>
      <w:r>
        <w:rPr>
          <w:rFonts w:ascii="仿宋_GB2312" w:eastAsia="仿宋_GB2312" w:hint="eastAsia"/>
          <w:bCs/>
          <w:sz w:val="30"/>
          <w:szCs w:val="30"/>
          <w:lang w:val="en-US" w:eastAsia="zh-CN"/>
        </w:rPr>
        <w:t>0</w:t>
      </w:r>
      <w:r>
        <w:rPr>
          <w:rFonts w:ascii="仿宋_GB2312" w:eastAsia="仿宋_GB2312" w:hint="eastAsia"/>
          <w:sz w:val="30"/>
          <w:szCs w:val="30"/>
        </w:rPr>
        <w:t>个，其他事业单位</w:t>
      </w:r>
      <w:r>
        <w:rPr>
          <w:rFonts w:ascii="仿宋_GB2312" w:eastAsia="仿宋_GB2312" w:hint="eastAsia"/>
          <w:sz w:val="30"/>
          <w:szCs w:val="30"/>
          <w:lang w:val="en-US" w:eastAsia="zh-CN"/>
        </w:rPr>
        <w:t>0</w:t>
      </w:r>
      <w:r>
        <w:rPr>
          <w:rFonts w:ascii="仿宋_GB2312" w:eastAsia="仿宋_GB2312" w:hint="eastAsia"/>
          <w:sz w:val="30"/>
          <w:szCs w:val="30"/>
        </w:rPr>
        <w:t>个。</w:t>
      </w:r>
    </w:p>
    <w:p>
      <w:pPr>
        <w:ind w:firstLine="600" w:firstLineChars="200"/>
        <w:rPr>
          <w:rFonts w:ascii="楷体" w:eastAsia="楷体" w:hAnsi="楷体" w:hint="eastAsia"/>
          <w:sz w:val="30"/>
          <w:szCs w:val="30"/>
        </w:rPr>
      </w:pPr>
      <w:r>
        <w:rPr>
          <w:rFonts w:ascii="楷体" w:eastAsia="楷体" w:hAnsi="楷体" w:hint="eastAsia"/>
          <w:sz w:val="30"/>
          <w:szCs w:val="30"/>
        </w:rPr>
        <w:t xml:space="preserve">（二）部门人员和车辆的编制及实有情况 </w:t>
      </w:r>
    </w:p>
    <w:p>
      <w:pPr>
        <w:spacing w:line="600" w:lineRule="exact"/>
        <w:ind w:firstLine="600" w:firstLineChars="200"/>
        <w:rPr>
          <w:rFonts w:ascii="仿宋_GB2312" w:eastAsia="仿宋_GB2312" w:hAnsi="宋体" w:cs="Arial" w:hint="eastAsia"/>
          <w:kern w:val="0"/>
          <w:sz w:val="30"/>
          <w:szCs w:val="30"/>
        </w:rPr>
      </w:pPr>
      <w:r>
        <w:rPr>
          <w:rFonts w:ascii="仿宋_GB2312" w:eastAsia="仿宋_GB2312" w:hint="eastAsia"/>
          <w:sz w:val="30"/>
          <w:szCs w:val="30"/>
          <w:lang w:eastAsia="zh-CN"/>
        </w:rPr>
        <w:t>维西县林业局</w:t>
      </w:r>
      <w:r>
        <w:rPr>
          <w:rFonts w:ascii="仿宋_GB2312" w:eastAsia="仿宋_GB2312" w:hint="eastAsia"/>
          <w:sz w:val="30"/>
          <w:szCs w:val="30"/>
          <w:lang w:val="en-US" w:eastAsia="zh-CN"/>
        </w:rPr>
        <w:t>2018</w:t>
      </w:r>
      <w:r>
        <w:rPr>
          <w:rFonts w:ascii="仿宋_GB2312" w:eastAsia="仿宋_GB2312" w:hint="eastAsia"/>
          <w:sz w:val="30"/>
          <w:szCs w:val="30"/>
        </w:rPr>
        <w:t>年末实有人员编制</w:t>
      </w:r>
      <w:r>
        <w:rPr>
          <w:rFonts w:ascii="仿宋_GB2312" w:eastAsia="仿宋_GB2312" w:hint="eastAsia"/>
          <w:sz w:val="30"/>
          <w:szCs w:val="30"/>
          <w:lang w:val="en-US" w:eastAsia="zh-CN"/>
        </w:rPr>
        <w:t>52</w:t>
      </w:r>
      <w:r>
        <w:rPr>
          <w:rFonts w:ascii="仿宋_GB2312" w:eastAsia="仿宋_GB2312" w:hAnsi="宋体" w:cs="Arial" w:hint="eastAsia"/>
          <w:kern w:val="0"/>
          <w:sz w:val="30"/>
          <w:szCs w:val="30"/>
        </w:rPr>
        <w:t>人。其中：行政编制</w:t>
      </w:r>
      <w:r>
        <w:rPr>
          <w:rFonts w:ascii="仿宋_GB2312" w:eastAsia="仿宋_GB2312" w:hint="eastAsia"/>
          <w:sz w:val="30"/>
          <w:szCs w:val="30"/>
          <w:lang w:val="en-US" w:eastAsia="zh-CN"/>
        </w:rPr>
        <w:t>10</w:t>
      </w:r>
      <w:r>
        <w:rPr>
          <w:rFonts w:ascii="仿宋_GB2312" w:eastAsia="仿宋_GB2312" w:hAnsi="宋体" w:cs="Arial" w:hint="eastAsia"/>
          <w:kern w:val="0"/>
          <w:sz w:val="30"/>
          <w:szCs w:val="30"/>
        </w:rPr>
        <w:t>人（含行政工勤编制</w:t>
      </w:r>
      <w:r>
        <w:rPr>
          <w:rFonts w:ascii="仿宋_GB2312" w:eastAsia="仿宋_GB2312" w:hint="eastAsia"/>
          <w:sz w:val="30"/>
          <w:szCs w:val="30"/>
          <w:lang w:val="en-US" w:eastAsia="zh-CN"/>
        </w:rPr>
        <w:t>3</w:t>
      </w:r>
      <w:r>
        <w:rPr>
          <w:rFonts w:ascii="仿宋_GB2312" w:eastAsia="仿宋_GB2312" w:hAnsi="宋体" w:cs="Arial" w:hint="eastAsia"/>
          <w:kern w:val="0"/>
          <w:sz w:val="30"/>
          <w:szCs w:val="30"/>
        </w:rPr>
        <w:t>人），事业编制</w:t>
      </w:r>
      <w:r>
        <w:rPr>
          <w:rFonts w:ascii="仿宋_GB2312" w:eastAsia="仿宋_GB2312" w:hint="eastAsia"/>
          <w:sz w:val="30"/>
          <w:szCs w:val="30"/>
          <w:lang w:val="en-US" w:eastAsia="zh-CN"/>
        </w:rPr>
        <w:t>42</w:t>
      </w:r>
      <w:r>
        <w:rPr>
          <w:rFonts w:ascii="仿宋_GB2312" w:eastAsia="仿宋_GB2312" w:hAnsi="宋体" w:cs="Arial" w:hint="eastAsia"/>
          <w:kern w:val="0"/>
          <w:sz w:val="30"/>
          <w:szCs w:val="30"/>
        </w:rPr>
        <w:t>人（含参公管理事业编制</w:t>
      </w:r>
      <w:r>
        <w:rPr>
          <w:rFonts w:ascii="仿宋_GB2312" w:eastAsia="仿宋_GB2312" w:hint="eastAsia"/>
          <w:sz w:val="30"/>
          <w:szCs w:val="30"/>
          <w:lang w:val="en-US" w:eastAsia="zh-CN"/>
        </w:rPr>
        <w:t>6</w:t>
      </w:r>
      <w:r>
        <w:rPr>
          <w:rFonts w:ascii="仿宋_GB2312" w:eastAsia="仿宋_GB2312" w:hAnsi="宋体" w:cs="Arial" w:hint="eastAsia"/>
          <w:kern w:val="0"/>
          <w:sz w:val="30"/>
          <w:szCs w:val="30"/>
        </w:rPr>
        <w:t>人）；在职在编实有行政人员</w:t>
      </w:r>
      <w:r>
        <w:rPr>
          <w:rFonts w:ascii="仿宋_GB2312" w:eastAsia="仿宋_GB2312" w:hint="eastAsia"/>
          <w:sz w:val="30"/>
          <w:szCs w:val="30"/>
          <w:lang w:val="en-US" w:eastAsia="zh-CN"/>
        </w:rPr>
        <w:t>16</w:t>
      </w:r>
      <w:r>
        <w:rPr>
          <w:rFonts w:ascii="仿宋_GB2312" w:eastAsia="仿宋_GB2312" w:hAnsi="宋体" w:cs="Arial" w:hint="eastAsia"/>
          <w:kern w:val="0"/>
          <w:sz w:val="30"/>
          <w:szCs w:val="30"/>
        </w:rPr>
        <w:t>人（含行政工勤人员</w:t>
      </w:r>
      <w:r>
        <w:rPr>
          <w:rFonts w:ascii="仿宋_GB2312" w:eastAsia="仿宋_GB2312" w:hint="eastAsia"/>
          <w:sz w:val="30"/>
          <w:szCs w:val="30"/>
          <w:lang w:val="en-US" w:eastAsia="zh-CN"/>
        </w:rPr>
        <w:t>3</w:t>
      </w:r>
      <w:r>
        <w:rPr>
          <w:rFonts w:ascii="仿宋_GB2312" w:eastAsia="仿宋_GB2312" w:hAnsi="宋体" w:cs="Arial" w:hint="eastAsia"/>
          <w:kern w:val="0"/>
          <w:sz w:val="30"/>
          <w:szCs w:val="30"/>
        </w:rPr>
        <w:t>人），事业人员</w:t>
      </w:r>
      <w:r>
        <w:rPr>
          <w:rFonts w:ascii="仿宋_GB2312" w:eastAsia="仿宋_GB2312" w:hint="eastAsia"/>
          <w:sz w:val="30"/>
          <w:szCs w:val="30"/>
          <w:lang w:val="en-US" w:eastAsia="zh-CN"/>
        </w:rPr>
        <w:t>33</w:t>
      </w:r>
      <w:r>
        <w:rPr>
          <w:rFonts w:ascii="仿宋_GB2312" w:eastAsia="仿宋_GB2312" w:hAnsi="宋体" w:cs="Arial" w:hint="eastAsia"/>
          <w:kern w:val="0"/>
          <w:sz w:val="30"/>
          <w:szCs w:val="30"/>
        </w:rPr>
        <w:t>人（含参公管理事业人员</w:t>
      </w:r>
      <w:r>
        <w:rPr>
          <w:rFonts w:ascii="仿宋_GB2312" w:eastAsia="仿宋_GB2312" w:hint="eastAsia"/>
          <w:sz w:val="30"/>
          <w:szCs w:val="30"/>
          <w:lang w:val="en-US" w:eastAsia="zh-CN"/>
        </w:rPr>
        <w:t>3</w:t>
      </w:r>
      <w:r>
        <w:rPr>
          <w:rFonts w:ascii="仿宋_GB2312" w:eastAsia="仿宋_GB2312" w:hAnsi="宋体" w:cs="Arial" w:hint="eastAsia"/>
          <w:kern w:val="0"/>
          <w:sz w:val="30"/>
          <w:szCs w:val="30"/>
        </w:rPr>
        <w:t>人）。</w:t>
      </w:r>
    </w:p>
    <w:p>
      <w:pPr>
        <w:spacing w:line="600" w:lineRule="exact"/>
        <w:ind w:firstLine="600" w:firstLineChars="200"/>
        <w:rPr>
          <w:rFonts w:ascii="仿宋_GB2312" w:eastAsia="仿宋_GB2312" w:hAnsi="宋体" w:cs="Arial" w:hint="eastAsia"/>
          <w:kern w:val="0"/>
          <w:sz w:val="30"/>
          <w:szCs w:val="30"/>
        </w:rPr>
      </w:pPr>
      <w:r>
        <w:rPr>
          <w:rFonts w:ascii="仿宋_GB2312" w:eastAsia="仿宋_GB2312" w:hAnsi="宋体" w:cs="Arial" w:hint="eastAsia"/>
          <w:kern w:val="0"/>
          <w:sz w:val="30"/>
          <w:szCs w:val="30"/>
        </w:rPr>
        <w:t>离退休人员</w:t>
      </w:r>
      <w:r>
        <w:rPr>
          <w:rFonts w:ascii="仿宋_GB2312" w:eastAsia="仿宋_GB2312" w:hint="eastAsia"/>
          <w:sz w:val="30"/>
          <w:szCs w:val="30"/>
          <w:lang w:val="en-US" w:eastAsia="zh-CN"/>
        </w:rPr>
        <w:t>44</w:t>
      </w:r>
      <w:r>
        <w:rPr>
          <w:rFonts w:ascii="仿宋_GB2312" w:eastAsia="仿宋_GB2312" w:hAnsi="宋体" w:cs="Arial" w:hint="eastAsia"/>
          <w:kern w:val="0"/>
          <w:sz w:val="30"/>
          <w:szCs w:val="30"/>
        </w:rPr>
        <w:t>人。其中：离休</w:t>
      </w:r>
      <w:r>
        <w:rPr>
          <w:rFonts w:ascii="仿宋_GB2312" w:eastAsia="仿宋_GB2312" w:hint="eastAsia"/>
          <w:sz w:val="30"/>
          <w:szCs w:val="30"/>
          <w:lang w:val="en-US" w:eastAsia="zh-CN"/>
        </w:rPr>
        <w:t>0</w:t>
      </w:r>
      <w:r>
        <w:rPr>
          <w:rFonts w:ascii="仿宋_GB2312" w:eastAsia="仿宋_GB2312" w:hAnsi="宋体" w:cs="Arial" w:hint="eastAsia"/>
          <w:kern w:val="0"/>
          <w:sz w:val="30"/>
          <w:szCs w:val="30"/>
        </w:rPr>
        <w:t>人，退休</w:t>
      </w:r>
      <w:r>
        <w:rPr>
          <w:rFonts w:ascii="仿宋_GB2312" w:eastAsia="仿宋_GB2312" w:hint="eastAsia"/>
          <w:sz w:val="30"/>
          <w:szCs w:val="30"/>
          <w:lang w:val="en-US" w:eastAsia="zh-CN"/>
        </w:rPr>
        <w:t>44</w:t>
      </w:r>
      <w:r>
        <w:rPr>
          <w:rFonts w:ascii="仿宋_GB2312" w:eastAsia="仿宋_GB2312" w:hAnsi="宋体" w:cs="Arial" w:hint="eastAsia"/>
          <w:kern w:val="0"/>
          <w:sz w:val="30"/>
          <w:szCs w:val="30"/>
        </w:rPr>
        <w:t>人。</w:t>
      </w:r>
    </w:p>
    <w:p>
      <w:pPr>
        <w:spacing w:line="600" w:lineRule="exact"/>
        <w:ind w:firstLine="600" w:firstLineChars="200"/>
        <w:rPr>
          <w:rFonts w:ascii="仿宋_GB2312" w:eastAsia="仿宋_GB2312" w:hAnsi="Arial" w:cs="Arial" w:hint="eastAsia"/>
          <w:kern w:val="0"/>
          <w:sz w:val="30"/>
          <w:szCs w:val="30"/>
        </w:rPr>
      </w:pPr>
      <w:r>
        <w:rPr>
          <w:rFonts w:ascii="仿宋_GB2312" w:eastAsia="仿宋_GB2312" w:hAnsi="宋体" w:cs="Arial" w:hint="eastAsia"/>
          <w:kern w:val="0"/>
          <w:sz w:val="30"/>
          <w:szCs w:val="30"/>
        </w:rPr>
        <w:t>实有车辆编制</w:t>
      </w:r>
      <w:r>
        <w:rPr>
          <w:rFonts w:ascii="仿宋_GB2312" w:eastAsia="仿宋_GB2312" w:hint="eastAsia"/>
          <w:sz w:val="30"/>
          <w:szCs w:val="30"/>
          <w:lang w:val="en-US" w:eastAsia="zh-CN"/>
        </w:rPr>
        <w:t>5</w:t>
      </w:r>
      <w:r>
        <w:rPr>
          <w:rFonts w:ascii="仿宋_GB2312" w:eastAsia="仿宋_GB2312" w:hAnsi="宋体" w:cs="Arial" w:hint="eastAsia"/>
          <w:kern w:val="0"/>
          <w:sz w:val="30"/>
          <w:szCs w:val="30"/>
        </w:rPr>
        <w:t>辆，在编实有车辆</w:t>
      </w:r>
      <w:r>
        <w:rPr>
          <w:rFonts w:ascii="仿宋_GB2312" w:eastAsia="仿宋_GB2312" w:hint="eastAsia"/>
          <w:sz w:val="30"/>
          <w:szCs w:val="30"/>
          <w:lang w:val="en-US" w:eastAsia="zh-CN"/>
        </w:rPr>
        <w:t>29</w:t>
      </w:r>
      <w:r>
        <w:rPr>
          <w:rFonts w:ascii="仿宋_GB2312" w:eastAsia="仿宋_GB2312" w:hAnsi="宋体" w:cs="Arial" w:hint="eastAsia"/>
          <w:kern w:val="0"/>
          <w:sz w:val="30"/>
          <w:szCs w:val="30"/>
        </w:rPr>
        <w:t>辆。</w:t>
      </w:r>
    </w:p>
    <w:p>
      <w:pPr>
        <w:jc w:val="center"/>
        <w:rPr>
          <w:rFonts w:ascii="黑体" w:eastAsia="黑体" w:hAnsi="黑体" w:hint="eastAsia"/>
          <w:sz w:val="32"/>
          <w:szCs w:val="32"/>
        </w:rPr>
      </w:pPr>
      <w:r>
        <w:rPr>
          <w:rFonts w:ascii="黑体" w:eastAsia="黑体" w:hAnsi="黑体" w:hint="eastAsia"/>
          <w:sz w:val="32"/>
          <w:szCs w:val="32"/>
        </w:rPr>
        <w:t xml:space="preserve">第二部分 </w:t>
      </w:r>
      <w:r>
        <w:rPr>
          <w:rFonts w:ascii="黑体" w:eastAsia="黑体" w:hAnsi="黑体" w:hint="eastAsia"/>
          <w:sz w:val="32"/>
          <w:szCs w:val="32"/>
          <w:lang w:val="en-US" w:eastAsia="zh-CN"/>
        </w:rPr>
        <w:t>2018</w:t>
      </w:r>
      <w:r>
        <w:rPr>
          <w:rFonts w:ascii="黑体" w:eastAsia="黑体" w:hAnsi="黑体" w:hint="eastAsia"/>
          <w:sz w:val="32"/>
          <w:szCs w:val="32"/>
        </w:rPr>
        <w:t>年度部门决算表</w:t>
      </w:r>
    </w:p>
    <w:p>
      <w:pPr>
        <w:spacing w:line="600" w:lineRule="exact"/>
        <w:ind w:firstLine="600" w:firstLineChars="200"/>
        <w:jc w:val="center"/>
        <w:rPr>
          <w:rFonts w:ascii="仿宋_GB2312" w:eastAsia="仿宋_GB2312" w:hint="eastAsia"/>
          <w:sz w:val="30"/>
          <w:szCs w:val="30"/>
        </w:rPr>
      </w:pPr>
      <w:r>
        <w:rPr>
          <w:rFonts w:ascii="仿宋_GB2312" w:eastAsia="仿宋_GB2312" w:hint="eastAsia"/>
          <w:sz w:val="30"/>
          <w:szCs w:val="30"/>
        </w:rPr>
        <w:t>（详见附件）</w:t>
      </w:r>
    </w:p>
    <w:p>
      <w:pPr>
        <w:spacing w:line="600" w:lineRule="exact"/>
        <w:ind w:firstLine="600" w:firstLineChars="200"/>
        <w:jc w:val="center"/>
        <w:rPr>
          <w:rFonts w:ascii="仿宋_GB2312" w:eastAsia="仿宋_GB2312" w:hint="eastAsia"/>
          <w:sz w:val="30"/>
          <w:szCs w:val="30"/>
        </w:rPr>
      </w:pPr>
    </w:p>
    <w:p>
      <w:pPr>
        <w:jc w:val="center"/>
        <w:rPr>
          <w:rFonts w:ascii="黑体" w:eastAsia="黑体" w:hAnsi="黑体" w:hint="eastAsia"/>
          <w:sz w:val="32"/>
          <w:szCs w:val="32"/>
        </w:rPr>
      </w:pPr>
      <w:r>
        <w:rPr>
          <w:rFonts w:ascii="黑体" w:eastAsia="黑体" w:hAnsi="黑体" w:hint="eastAsia"/>
          <w:sz w:val="32"/>
          <w:szCs w:val="32"/>
        </w:rPr>
        <w:t>第三部</w:t>
      </w:r>
      <w:r>
        <w:rPr>
          <w:rFonts w:ascii="黑体" w:eastAsia="黑体" w:hAnsi="黑体" w:hint="eastAsia"/>
          <w:sz w:val="32"/>
          <w:szCs w:val="32"/>
          <w:lang w:eastAsia="zh-CN"/>
        </w:rPr>
        <w:t>分</w:t>
      </w:r>
      <w:r>
        <w:rPr>
          <w:rFonts w:ascii="黑体" w:eastAsia="黑体" w:hAnsi="黑体" w:hint="eastAsia"/>
          <w:sz w:val="32"/>
          <w:szCs w:val="32"/>
        </w:rPr>
        <w:t xml:space="preserve">  </w:t>
      </w:r>
      <w:r>
        <w:rPr>
          <w:rFonts w:ascii="黑体" w:eastAsia="黑体" w:hAnsi="黑体" w:hint="eastAsia"/>
          <w:sz w:val="32"/>
          <w:szCs w:val="32"/>
          <w:lang w:val="en-US" w:eastAsia="zh-CN"/>
        </w:rPr>
        <w:t>2018</w:t>
      </w:r>
      <w:r>
        <w:rPr>
          <w:rFonts w:ascii="黑体" w:eastAsia="黑体" w:hAnsi="黑体" w:hint="eastAsia"/>
          <w:sz w:val="32"/>
          <w:szCs w:val="32"/>
        </w:rPr>
        <w:t>年度部门决算情况说明</w:t>
      </w:r>
    </w:p>
    <w:p>
      <w:pPr>
        <w:ind w:firstLine="600" w:firstLineChars="200"/>
        <w:jc w:val="left"/>
        <w:rPr>
          <w:rFonts w:ascii="黑体" w:eastAsia="黑体" w:hAnsi="黑体" w:hint="eastAsia"/>
          <w:sz w:val="30"/>
          <w:szCs w:val="30"/>
        </w:rPr>
      </w:pPr>
      <w:r>
        <w:rPr>
          <w:rFonts w:ascii="黑体" w:eastAsia="黑体" w:hAnsi="黑体" w:hint="eastAsia"/>
          <w:sz w:val="30"/>
          <w:szCs w:val="30"/>
        </w:rPr>
        <w:t>一、收入决算情况说明</w:t>
      </w:r>
    </w:p>
    <w:p>
      <w:pPr>
        <w:snapToGrid w:val="0"/>
        <w:spacing w:line="360" w:lineRule="auto"/>
        <w:ind w:firstLine="600" w:firstLineChars="200"/>
        <w:rPr>
          <w:rFonts w:ascii="仿宋_GB2312" w:eastAsia="仿宋_GB2312" w:hint="eastAsia"/>
          <w:sz w:val="30"/>
          <w:szCs w:val="30"/>
        </w:rPr>
      </w:pPr>
      <w:r>
        <w:rPr>
          <w:rFonts w:ascii="仿宋_GB2312" w:eastAsia="仿宋_GB2312" w:hint="eastAsia"/>
          <w:sz w:val="30"/>
          <w:szCs w:val="30"/>
          <w:lang w:eastAsia="zh-CN"/>
        </w:rPr>
        <w:t>维西县林业局</w:t>
      </w:r>
      <w:r>
        <w:rPr>
          <w:rFonts w:ascii="仿宋_GB2312" w:eastAsia="仿宋_GB2312" w:hint="eastAsia"/>
          <w:sz w:val="30"/>
          <w:szCs w:val="30"/>
          <w:lang w:val="en-US" w:eastAsia="zh-CN"/>
        </w:rPr>
        <w:t>2018</w:t>
      </w:r>
      <w:r>
        <w:rPr>
          <w:rFonts w:ascii="仿宋_GB2312" w:eastAsia="仿宋_GB2312" w:hint="eastAsia"/>
          <w:sz w:val="30"/>
          <w:szCs w:val="30"/>
        </w:rPr>
        <w:t>年度收入合计</w:t>
      </w:r>
      <w:r>
        <w:rPr>
          <w:rFonts w:ascii="仿宋_GB2312" w:eastAsia="仿宋_GB2312" w:hint="eastAsia"/>
          <w:sz w:val="30"/>
          <w:szCs w:val="30"/>
          <w:lang w:val="en-US" w:eastAsia="zh-CN"/>
        </w:rPr>
        <w:t>12608.11</w:t>
      </w:r>
      <w:r>
        <w:rPr>
          <w:rFonts w:ascii="仿宋_GB2312" w:eastAsia="仿宋_GB2312" w:hint="eastAsia"/>
          <w:sz w:val="30"/>
          <w:szCs w:val="30"/>
        </w:rPr>
        <w:t>万元。其中：财政拨款收入</w:t>
      </w:r>
      <w:r>
        <w:rPr>
          <w:rFonts w:ascii="仿宋_GB2312" w:eastAsia="仿宋_GB2312" w:hint="eastAsia"/>
          <w:sz w:val="30"/>
          <w:szCs w:val="30"/>
          <w:lang w:val="en-US" w:eastAsia="zh-CN"/>
        </w:rPr>
        <w:t>12608.11</w:t>
      </w:r>
      <w:r>
        <w:rPr>
          <w:rFonts w:ascii="仿宋_GB2312" w:eastAsia="仿宋_GB2312" w:hint="eastAsia"/>
          <w:sz w:val="30"/>
          <w:szCs w:val="30"/>
        </w:rPr>
        <w:t>万元，占总收入的</w:t>
      </w:r>
      <w:r>
        <w:rPr>
          <w:rFonts w:ascii="仿宋_GB2312" w:eastAsia="仿宋_GB2312" w:hint="eastAsia"/>
          <w:sz w:val="30"/>
          <w:szCs w:val="30"/>
          <w:lang w:val="en-US" w:eastAsia="zh-CN"/>
        </w:rPr>
        <w:t>100</w:t>
      </w:r>
      <w:r>
        <w:rPr>
          <w:rFonts w:ascii="仿宋_GB2312" w:eastAsia="仿宋_GB2312" w:hint="eastAsia"/>
          <w:sz w:val="30"/>
          <w:szCs w:val="30"/>
        </w:rPr>
        <w:t>%；上级补助收入</w:t>
      </w:r>
      <w:r>
        <w:rPr>
          <w:rFonts w:ascii="仿宋_GB2312" w:eastAsia="仿宋_GB2312" w:hint="eastAsia"/>
          <w:sz w:val="30"/>
          <w:szCs w:val="30"/>
          <w:lang w:val="en-US" w:eastAsia="zh-CN"/>
        </w:rPr>
        <w:t>0</w:t>
      </w:r>
      <w:r>
        <w:rPr>
          <w:rFonts w:ascii="仿宋_GB2312" w:eastAsia="仿宋_GB2312" w:hint="eastAsia"/>
          <w:sz w:val="30"/>
          <w:szCs w:val="30"/>
        </w:rPr>
        <w:t>万元，占总收入的</w:t>
      </w:r>
      <w:r>
        <w:rPr>
          <w:rFonts w:ascii="仿宋_GB2312" w:eastAsia="仿宋_GB2312" w:hint="eastAsia"/>
          <w:sz w:val="30"/>
          <w:szCs w:val="30"/>
          <w:lang w:val="en-US" w:eastAsia="zh-CN"/>
        </w:rPr>
        <w:t>0</w:t>
      </w:r>
      <w:r>
        <w:rPr>
          <w:rFonts w:ascii="仿宋_GB2312" w:eastAsia="仿宋_GB2312" w:hint="eastAsia"/>
          <w:sz w:val="30"/>
          <w:szCs w:val="30"/>
        </w:rPr>
        <w:t>%；事业收入</w:t>
      </w:r>
      <w:r>
        <w:rPr>
          <w:rFonts w:ascii="仿宋_GB2312" w:eastAsia="仿宋_GB2312" w:hint="eastAsia"/>
          <w:sz w:val="30"/>
          <w:szCs w:val="30"/>
          <w:lang w:val="en-US" w:eastAsia="zh-CN"/>
        </w:rPr>
        <w:t>0</w:t>
      </w:r>
      <w:r>
        <w:rPr>
          <w:rFonts w:ascii="仿宋_GB2312" w:eastAsia="仿宋_GB2312" w:hint="eastAsia"/>
          <w:sz w:val="30"/>
          <w:szCs w:val="30"/>
        </w:rPr>
        <w:t>万元，占总收入的</w:t>
      </w:r>
      <w:r>
        <w:rPr>
          <w:rFonts w:ascii="仿宋_GB2312" w:eastAsia="仿宋_GB2312" w:hint="eastAsia"/>
          <w:sz w:val="30"/>
          <w:szCs w:val="30"/>
          <w:lang w:val="en-US" w:eastAsia="zh-CN"/>
        </w:rPr>
        <w:t>0</w:t>
      </w:r>
      <w:r>
        <w:rPr>
          <w:rFonts w:ascii="仿宋_GB2312" w:eastAsia="仿宋_GB2312" w:hint="eastAsia"/>
          <w:sz w:val="30"/>
          <w:szCs w:val="30"/>
        </w:rPr>
        <w:t>%；经营收入</w:t>
      </w:r>
      <w:r>
        <w:rPr>
          <w:rFonts w:ascii="仿宋_GB2312" w:eastAsia="仿宋_GB2312" w:hint="eastAsia"/>
          <w:sz w:val="30"/>
          <w:szCs w:val="30"/>
          <w:lang w:val="en-US" w:eastAsia="zh-CN"/>
        </w:rPr>
        <w:t>0</w:t>
      </w:r>
      <w:r>
        <w:rPr>
          <w:rFonts w:ascii="仿宋_GB2312" w:eastAsia="仿宋_GB2312" w:hint="eastAsia"/>
          <w:sz w:val="30"/>
          <w:szCs w:val="30"/>
        </w:rPr>
        <w:t>万元，占总收入的</w:t>
      </w:r>
      <w:r>
        <w:rPr>
          <w:rFonts w:ascii="仿宋_GB2312" w:eastAsia="仿宋_GB2312" w:hint="eastAsia"/>
          <w:sz w:val="30"/>
          <w:szCs w:val="30"/>
          <w:lang w:val="en-US" w:eastAsia="zh-CN"/>
        </w:rPr>
        <w:t>0</w:t>
      </w:r>
      <w:r>
        <w:rPr>
          <w:rFonts w:ascii="仿宋_GB2312" w:eastAsia="仿宋_GB2312" w:hint="eastAsia"/>
          <w:sz w:val="30"/>
          <w:szCs w:val="30"/>
        </w:rPr>
        <w:t>%；附属单位缴款收入</w:t>
      </w:r>
      <w:r>
        <w:rPr>
          <w:rFonts w:ascii="仿宋_GB2312" w:eastAsia="仿宋_GB2312" w:hint="eastAsia"/>
          <w:sz w:val="30"/>
          <w:szCs w:val="30"/>
          <w:lang w:val="en-US" w:eastAsia="zh-CN"/>
        </w:rPr>
        <w:t>0</w:t>
      </w:r>
      <w:r>
        <w:rPr>
          <w:rFonts w:ascii="仿宋_GB2312" w:eastAsia="仿宋_GB2312" w:hint="eastAsia"/>
          <w:sz w:val="30"/>
          <w:szCs w:val="30"/>
        </w:rPr>
        <w:t>万元，占总收入的</w:t>
      </w:r>
      <w:r>
        <w:rPr>
          <w:rFonts w:ascii="仿宋_GB2312" w:eastAsia="仿宋_GB2312" w:hint="eastAsia"/>
          <w:sz w:val="30"/>
          <w:szCs w:val="30"/>
          <w:lang w:val="en-US" w:eastAsia="zh-CN"/>
        </w:rPr>
        <w:t>0</w:t>
      </w:r>
      <w:r>
        <w:rPr>
          <w:rFonts w:ascii="仿宋_GB2312" w:eastAsia="仿宋_GB2312" w:hint="eastAsia"/>
          <w:sz w:val="30"/>
          <w:szCs w:val="30"/>
        </w:rPr>
        <w:t>%；其他收入</w:t>
      </w:r>
      <w:r>
        <w:rPr>
          <w:rFonts w:ascii="仿宋_GB2312" w:eastAsia="仿宋_GB2312" w:hint="eastAsia"/>
          <w:sz w:val="30"/>
          <w:szCs w:val="30"/>
          <w:lang w:val="en-US" w:eastAsia="zh-CN"/>
        </w:rPr>
        <w:t>0</w:t>
      </w:r>
      <w:r>
        <w:rPr>
          <w:rFonts w:ascii="仿宋_GB2312" w:eastAsia="仿宋_GB2312" w:hint="eastAsia"/>
          <w:sz w:val="30"/>
          <w:szCs w:val="30"/>
        </w:rPr>
        <w:t>万元，占总收入的</w:t>
      </w:r>
      <w:r>
        <w:rPr>
          <w:rFonts w:ascii="仿宋_GB2312" w:eastAsia="仿宋_GB2312" w:hint="eastAsia"/>
          <w:sz w:val="30"/>
          <w:szCs w:val="30"/>
          <w:lang w:val="en-US" w:eastAsia="zh-CN"/>
        </w:rPr>
        <w:t>0</w:t>
      </w:r>
      <w:r>
        <w:rPr>
          <w:rFonts w:ascii="仿宋_GB2312" w:eastAsia="仿宋_GB2312" w:hint="eastAsia"/>
          <w:sz w:val="30"/>
          <w:szCs w:val="30"/>
        </w:rPr>
        <w:t>%。</w:t>
      </w:r>
      <w:r>
        <w:rPr>
          <w:rFonts w:ascii="仿宋_GB2312" w:eastAsia="仿宋_GB2312" w:hAnsi="仿宋" w:hint="eastAsia"/>
          <w:sz w:val="30"/>
          <w:szCs w:val="30"/>
        </w:rPr>
        <w:t>本年度收入比上年度增加4201.14万元，增长49.97%，主要原因是本年度增加生态护林员补助资金及涉农整合资金。</w:t>
      </w:r>
    </w:p>
    <w:p>
      <w:pPr>
        <w:ind w:firstLine="600" w:firstLineChars="200"/>
        <w:jc w:val="left"/>
        <w:rPr>
          <w:rFonts w:ascii="黑体" w:eastAsia="黑体" w:hAnsi="黑体" w:hint="eastAsia"/>
          <w:sz w:val="30"/>
          <w:szCs w:val="30"/>
        </w:rPr>
      </w:pPr>
      <w:r>
        <w:rPr>
          <w:rFonts w:ascii="黑体" w:eastAsia="黑体" w:hAnsi="黑体" w:hint="eastAsia"/>
          <w:sz w:val="30"/>
          <w:szCs w:val="30"/>
        </w:rPr>
        <w:t>二、支出决算情况说明</w:t>
      </w:r>
    </w:p>
    <w:p>
      <w:pPr>
        <w:snapToGrid w:val="0"/>
        <w:spacing w:line="520" w:lineRule="exact"/>
        <w:ind w:firstLine="600" w:firstLineChars="200"/>
        <w:rPr>
          <w:rFonts w:ascii="仿宋_GB2312" w:eastAsia="仿宋_GB2312" w:hAnsi="宋体" w:cs="Arial" w:hint="eastAsia"/>
          <w:kern w:val="0"/>
          <w:sz w:val="30"/>
          <w:szCs w:val="30"/>
        </w:rPr>
      </w:pPr>
      <w:r>
        <w:rPr>
          <w:rFonts w:ascii="仿宋_GB2312" w:eastAsia="仿宋_GB2312" w:hint="eastAsia"/>
          <w:sz w:val="30"/>
          <w:szCs w:val="30"/>
          <w:lang w:eastAsia="zh-CN"/>
        </w:rPr>
        <w:t>维西县林业局</w:t>
      </w:r>
      <w:r>
        <w:rPr>
          <w:rFonts w:ascii="仿宋_GB2312" w:eastAsia="仿宋_GB2312" w:hint="eastAsia"/>
          <w:sz w:val="30"/>
          <w:szCs w:val="30"/>
          <w:lang w:val="en-US" w:eastAsia="zh-CN"/>
        </w:rPr>
        <w:t>2018</w:t>
      </w:r>
      <w:r>
        <w:rPr>
          <w:rFonts w:ascii="仿宋_GB2312" w:eastAsia="仿宋_GB2312" w:hint="eastAsia"/>
          <w:sz w:val="30"/>
          <w:szCs w:val="30"/>
        </w:rPr>
        <w:t>年度支出合计</w:t>
      </w:r>
      <w:r>
        <w:rPr>
          <w:rFonts w:ascii="仿宋_GB2312" w:eastAsia="仿宋_GB2312" w:hint="eastAsia"/>
          <w:sz w:val="30"/>
          <w:szCs w:val="30"/>
          <w:lang w:val="en-US" w:eastAsia="zh-CN"/>
        </w:rPr>
        <w:t>13312.68</w:t>
      </w:r>
      <w:r>
        <w:rPr>
          <w:rFonts w:ascii="仿宋_GB2312" w:eastAsia="仿宋_GB2312" w:hint="eastAsia"/>
          <w:sz w:val="30"/>
          <w:szCs w:val="30"/>
        </w:rPr>
        <w:t>万元。其中：</w:t>
      </w:r>
      <w:r>
        <w:rPr>
          <w:rFonts w:ascii="仿宋_GB2312" w:eastAsia="仿宋_GB2312" w:hAnsi="宋体" w:cs="Arial" w:hint="eastAsia"/>
          <w:kern w:val="0"/>
          <w:sz w:val="30"/>
          <w:szCs w:val="30"/>
        </w:rPr>
        <w:t>基本支出</w:t>
      </w:r>
      <w:r>
        <w:rPr>
          <w:rFonts w:ascii="仿宋_GB2312" w:eastAsia="仿宋_GB2312" w:hint="eastAsia"/>
          <w:sz w:val="30"/>
          <w:szCs w:val="30"/>
          <w:lang w:val="en-US" w:eastAsia="zh-CN"/>
        </w:rPr>
        <w:t>1326.55</w:t>
      </w:r>
      <w:r>
        <w:rPr>
          <w:rFonts w:ascii="仿宋_GB2312" w:eastAsia="仿宋_GB2312" w:hAnsi="宋体" w:cs="Arial" w:hint="eastAsia"/>
          <w:kern w:val="0"/>
          <w:sz w:val="30"/>
          <w:szCs w:val="30"/>
        </w:rPr>
        <w:t>万元，占总支出的</w:t>
      </w:r>
      <w:r>
        <w:rPr>
          <w:rFonts w:ascii="仿宋_GB2312" w:eastAsia="仿宋_GB2312" w:hint="eastAsia"/>
          <w:sz w:val="30"/>
          <w:szCs w:val="30"/>
          <w:lang w:val="en-US" w:eastAsia="zh-CN"/>
        </w:rPr>
        <w:t>9.96</w:t>
      </w:r>
      <w:r>
        <w:rPr>
          <w:rFonts w:ascii="仿宋_GB2312" w:eastAsia="仿宋_GB2312" w:hAnsi="宋体" w:cs="Arial" w:hint="eastAsia"/>
          <w:kern w:val="0"/>
          <w:sz w:val="30"/>
          <w:szCs w:val="30"/>
        </w:rPr>
        <w:t>％；项目支出</w:t>
      </w:r>
      <w:r>
        <w:rPr>
          <w:rFonts w:ascii="仿宋_GB2312" w:eastAsia="仿宋_GB2312" w:hAnsi="仿宋" w:hint="eastAsia"/>
          <w:sz w:val="30"/>
          <w:szCs w:val="30"/>
        </w:rPr>
        <w:t>11986.13</w:t>
      </w:r>
      <w:r>
        <w:rPr>
          <w:rFonts w:ascii="仿宋_GB2312" w:eastAsia="仿宋_GB2312" w:hAnsi="宋体" w:cs="Arial" w:hint="eastAsia"/>
          <w:kern w:val="0"/>
          <w:sz w:val="30"/>
          <w:szCs w:val="30"/>
        </w:rPr>
        <w:t>万元，占总支出的</w:t>
      </w:r>
      <w:r>
        <w:rPr>
          <w:rFonts w:ascii="仿宋_GB2312" w:eastAsia="仿宋_GB2312" w:hint="eastAsia"/>
          <w:sz w:val="30"/>
          <w:szCs w:val="30"/>
          <w:lang w:val="en-US" w:eastAsia="zh-CN"/>
        </w:rPr>
        <w:t>90.06</w:t>
      </w:r>
      <w:r>
        <w:rPr>
          <w:rFonts w:ascii="仿宋_GB2312" w:eastAsia="仿宋_GB2312" w:hAnsi="宋体" w:cs="Arial" w:hint="eastAsia"/>
          <w:kern w:val="0"/>
          <w:sz w:val="30"/>
          <w:szCs w:val="30"/>
        </w:rPr>
        <w:t>％；上缴上级支出、经营支出、对附属单位补助支出共</w:t>
      </w:r>
      <w:r>
        <w:rPr>
          <w:rFonts w:ascii="仿宋_GB2312" w:eastAsia="仿宋_GB2312" w:hint="eastAsia"/>
          <w:sz w:val="30"/>
          <w:szCs w:val="30"/>
          <w:lang w:val="en-US" w:eastAsia="zh-CN"/>
        </w:rPr>
        <w:t>0</w:t>
      </w:r>
      <w:r>
        <w:rPr>
          <w:rFonts w:ascii="仿宋_GB2312" w:eastAsia="仿宋_GB2312" w:hAnsi="宋体" w:cs="Arial" w:hint="eastAsia"/>
          <w:kern w:val="0"/>
          <w:sz w:val="30"/>
          <w:szCs w:val="30"/>
        </w:rPr>
        <w:t>万元，占总支出的</w:t>
      </w:r>
      <w:r>
        <w:rPr>
          <w:rFonts w:ascii="仿宋_GB2312" w:eastAsia="仿宋_GB2312" w:hint="eastAsia"/>
          <w:sz w:val="30"/>
          <w:szCs w:val="30"/>
          <w:lang w:val="en-US" w:eastAsia="zh-CN"/>
        </w:rPr>
        <w:t>0</w:t>
      </w:r>
      <w:r>
        <w:rPr>
          <w:rFonts w:ascii="仿宋_GB2312" w:eastAsia="仿宋_GB2312" w:hAnsi="宋体" w:cs="Arial" w:hint="eastAsia"/>
          <w:kern w:val="0"/>
          <w:sz w:val="30"/>
          <w:szCs w:val="30"/>
        </w:rPr>
        <w:t>％。</w:t>
      </w:r>
      <w:r>
        <w:rPr>
          <w:rFonts w:ascii="仿宋_GB2312" w:eastAsia="仿宋_GB2312" w:hAnsi="仿宋" w:hint="eastAsia"/>
          <w:sz w:val="30"/>
          <w:szCs w:val="30"/>
        </w:rPr>
        <w:t>本年度比上年度减少支出455.25万元，减少3.3%，减少原因为本年度基本建设类项目支出减少</w:t>
      </w:r>
      <w:r>
        <w:rPr>
          <w:rFonts w:ascii="仿宋_GB2312" w:eastAsia="仿宋_GB2312" w:hAnsi="仿宋" w:hint="eastAsia"/>
          <w:sz w:val="32"/>
          <w:szCs w:val="32"/>
        </w:rPr>
        <w:t>。</w:t>
      </w:r>
    </w:p>
    <w:p>
      <w:pPr>
        <w:widowControl/>
        <w:snapToGrid w:val="0"/>
        <w:spacing w:before="100" w:beforeLines="0" w:after="100" w:afterLines="0" w:line="600" w:lineRule="exact"/>
        <w:ind w:firstLine="600" w:firstLineChars="200"/>
        <w:jc w:val="left"/>
        <w:rPr>
          <w:rFonts w:ascii="楷体" w:eastAsia="楷体" w:hAnsi="楷体" w:hint="eastAsia"/>
          <w:sz w:val="30"/>
          <w:szCs w:val="30"/>
        </w:rPr>
      </w:pPr>
      <w:r>
        <w:rPr>
          <w:rFonts w:ascii="楷体" w:eastAsia="楷体" w:hAnsi="楷体" w:hint="eastAsia"/>
          <w:sz w:val="30"/>
          <w:szCs w:val="30"/>
        </w:rPr>
        <w:t>（一）基本支出情况</w:t>
      </w:r>
    </w:p>
    <w:p>
      <w:pPr>
        <w:widowControl/>
        <w:snapToGrid w:val="0"/>
        <w:spacing w:before="100" w:beforeLines="0" w:after="100" w:afterLines="0" w:line="600" w:lineRule="exact"/>
        <w:ind w:firstLine="600" w:firstLineChars="200"/>
        <w:jc w:val="left"/>
        <w:rPr>
          <w:rFonts w:ascii="仿宋_GB2312" w:eastAsia="仿宋_GB2312" w:hint="eastAsia"/>
          <w:sz w:val="30"/>
          <w:szCs w:val="30"/>
        </w:rPr>
      </w:pPr>
      <w:r>
        <w:rPr>
          <w:rFonts w:ascii="仿宋_GB2312" w:eastAsia="仿宋_GB2312" w:hint="eastAsia"/>
          <w:sz w:val="30"/>
          <w:szCs w:val="30"/>
          <w:lang w:val="en-US" w:eastAsia="zh-CN"/>
        </w:rPr>
        <w:t>2018</w:t>
      </w:r>
      <w:r>
        <w:rPr>
          <w:rFonts w:ascii="仿宋_GB2312" w:eastAsia="仿宋_GB2312" w:hint="eastAsia"/>
          <w:sz w:val="30"/>
          <w:szCs w:val="30"/>
        </w:rPr>
        <w:t>年度用于保障</w:t>
      </w:r>
      <w:r>
        <w:rPr>
          <w:rFonts w:ascii="仿宋_GB2312" w:eastAsia="仿宋_GB2312" w:hint="eastAsia"/>
          <w:sz w:val="30"/>
          <w:szCs w:val="30"/>
          <w:lang w:eastAsia="zh-CN"/>
        </w:rPr>
        <w:t>林业</w:t>
      </w:r>
      <w:r>
        <w:rPr>
          <w:rFonts w:ascii="仿宋_GB2312" w:eastAsia="仿宋_GB2312" w:hint="eastAsia"/>
          <w:sz w:val="30"/>
          <w:szCs w:val="30"/>
        </w:rPr>
        <w:t>机构正常运转的日常支出</w:t>
      </w:r>
      <w:r>
        <w:rPr>
          <w:rFonts w:ascii="仿宋_GB2312" w:eastAsia="仿宋_GB2312" w:hint="eastAsia"/>
          <w:sz w:val="30"/>
          <w:szCs w:val="30"/>
          <w:lang w:val="en-US" w:eastAsia="zh-CN"/>
        </w:rPr>
        <w:t>1326.55</w:t>
      </w:r>
      <w:r>
        <w:rPr>
          <w:rFonts w:ascii="仿宋_GB2312" w:eastAsia="仿宋_GB2312" w:hint="eastAsia"/>
          <w:sz w:val="30"/>
          <w:szCs w:val="30"/>
        </w:rPr>
        <w:t>万元。</w:t>
      </w:r>
      <w:r>
        <w:rPr>
          <w:rFonts w:ascii="仿宋_GB2312" w:eastAsia="仿宋_GB2312" w:hint="eastAsia"/>
          <w:sz w:val="30"/>
          <w:szCs w:val="30"/>
          <w:lang w:eastAsia="zh-CN"/>
        </w:rPr>
        <w:t>比上年度增加</w:t>
      </w:r>
      <w:r>
        <w:rPr>
          <w:rFonts w:ascii="仿宋_GB2312" w:eastAsia="仿宋_GB2312" w:hint="eastAsia"/>
          <w:sz w:val="30"/>
          <w:szCs w:val="30"/>
          <w:lang w:val="en-US" w:eastAsia="zh-CN"/>
        </w:rPr>
        <w:t>198万元，增长17.54%</w:t>
      </w:r>
      <w:r>
        <w:rPr>
          <w:rFonts w:ascii="仿宋_GB2312" w:eastAsia="仿宋_GB2312" w:hint="eastAsia"/>
          <w:sz w:val="30"/>
          <w:szCs w:val="30"/>
        </w:rPr>
        <w:t>,主要原因</w:t>
      </w:r>
      <w:r>
        <w:rPr>
          <w:rFonts w:ascii="仿宋_GB2312" w:eastAsia="仿宋_GB2312" w:hint="eastAsia"/>
          <w:sz w:val="30"/>
          <w:szCs w:val="30"/>
          <w:lang w:eastAsia="zh-CN"/>
        </w:rPr>
        <w:t>为人员调入及增资</w:t>
      </w:r>
      <w:r>
        <w:rPr>
          <w:rFonts w:ascii="仿宋_GB2312" w:eastAsia="仿宋_GB2312" w:hint="eastAsia"/>
          <w:sz w:val="30"/>
          <w:szCs w:val="30"/>
        </w:rPr>
        <w:t>。包括基本工资、津贴补贴等人员经费支出占基本支出的</w:t>
      </w:r>
      <w:r>
        <w:rPr>
          <w:rFonts w:ascii="仿宋_GB2312" w:eastAsia="仿宋_GB2312" w:hint="eastAsia"/>
          <w:sz w:val="30"/>
          <w:szCs w:val="30"/>
          <w:lang w:val="en-US" w:eastAsia="zh-CN"/>
        </w:rPr>
        <w:t>97.04</w:t>
      </w:r>
      <w:r>
        <w:rPr>
          <w:rFonts w:ascii="仿宋_GB2312" w:eastAsia="仿宋_GB2312" w:hint="eastAsia"/>
          <w:sz w:val="30"/>
          <w:szCs w:val="30"/>
        </w:rPr>
        <w:t>％；办公费、印刷费、水电费、办公设备购置等日常公用经费占基本支出的</w:t>
      </w:r>
      <w:r>
        <w:rPr>
          <w:rFonts w:ascii="仿宋_GB2312" w:eastAsia="仿宋_GB2312" w:hint="eastAsia"/>
          <w:sz w:val="30"/>
          <w:szCs w:val="30"/>
          <w:lang w:val="en-US" w:eastAsia="zh-CN"/>
        </w:rPr>
        <w:t>2.96</w:t>
      </w:r>
      <w:r>
        <w:rPr>
          <w:rFonts w:ascii="仿宋_GB2312" w:eastAsia="仿宋_GB2312" w:hint="eastAsia"/>
          <w:sz w:val="30"/>
          <w:szCs w:val="30"/>
        </w:rPr>
        <w:t>％。</w:t>
      </w:r>
    </w:p>
    <w:p>
      <w:pPr>
        <w:widowControl/>
        <w:snapToGrid w:val="0"/>
        <w:spacing w:before="100" w:beforeLines="0" w:after="100" w:afterLines="0" w:line="600" w:lineRule="exact"/>
        <w:jc w:val="left"/>
        <w:rPr>
          <w:rFonts w:ascii="仿宋_GB2312" w:eastAsia="仿宋_GB2312" w:hint="eastAsia"/>
          <w:sz w:val="24"/>
          <w:szCs w:val="24"/>
        </w:rPr>
      </w:pPr>
      <w:r>
        <w:rPr>
          <w:rFonts w:ascii="仿宋_GB2312" w:eastAsia="仿宋_GB2312" w:hint="eastAsia"/>
          <w:sz w:val="24"/>
          <w:szCs w:val="24"/>
        </w:rPr>
        <w:t>人均</w:t>
      </w:r>
      <w:r>
        <w:rPr>
          <w:rFonts w:ascii="仿宋_GB2312" w:eastAsia="仿宋_GB2312" w:hint="eastAsia"/>
          <w:sz w:val="24"/>
          <w:szCs w:val="24"/>
          <w:lang w:eastAsia="zh-CN"/>
        </w:rPr>
        <w:t>支出分析情况表：</w:t>
      </w:r>
    </w:p>
    <w:tbl>
      <w:tblP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Look w:val="0000"/>
      </w:tblPr>
      <w:tblGrid>
        <w:gridCol w:w="585"/>
        <w:gridCol w:w="480"/>
        <w:gridCol w:w="727"/>
        <w:gridCol w:w="720"/>
        <w:gridCol w:w="705"/>
        <w:gridCol w:w="690"/>
        <w:gridCol w:w="701"/>
        <w:gridCol w:w="694"/>
        <w:gridCol w:w="1560"/>
        <w:gridCol w:w="1875"/>
      </w:tblGrid>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Look w:val="0000"/>
        </w:tblPrEx>
        <w:trPr>
          <w:trHeight w:val="510"/>
        </w:trPr>
        <w:tc>
          <w:tcPr>
            <w:tcW w:w="1065" w:type="dxa"/>
            <w:gridSpan w:val="2"/>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年末实有人数</w:t>
            </w:r>
          </w:p>
        </w:tc>
        <w:tc>
          <w:tcPr>
            <w:tcW w:w="7672" w:type="dxa"/>
            <w:gridSpan w:val="8"/>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一般公共预算财政拨款基本支出和项目支出</w:t>
            </w:r>
          </w:p>
        </w:tc>
      </w:tr>
      <w:tr>
        <w:tblPrEx>
          <w:tblLayout w:type="fixed"/>
          <w:tblCellMar>
            <w:left w:w="108" w:type="dxa"/>
            <w:right w:w="108" w:type="dxa"/>
          </w:tblCellMar>
          <w:tblLook w:val="0000"/>
        </w:tblPrEx>
        <w:trPr>
          <w:trHeight w:val="300"/>
        </w:trPr>
        <w:tc>
          <w:tcPr>
            <w:tcW w:w="585"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小计</w:t>
            </w:r>
          </w:p>
        </w:tc>
        <w:tc>
          <w:tcPr>
            <w:tcW w:w="480"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在职人员</w:t>
            </w:r>
          </w:p>
        </w:tc>
        <w:tc>
          <w:tcPr>
            <w:tcW w:w="727"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离退休人员</w:t>
            </w:r>
          </w:p>
        </w:tc>
        <w:tc>
          <w:tcPr>
            <w:tcW w:w="720"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人均工资福利支出</w:t>
            </w:r>
          </w:p>
        </w:tc>
        <w:tc>
          <w:tcPr>
            <w:tcW w:w="705"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人均离退休费</w:t>
            </w:r>
          </w:p>
        </w:tc>
        <w:tc>
          <w:tcPr>
            <w:tcW w:w="5520" w:type="dxa"/>
            <w:gridSpan w:val="5"/>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其中：基本支出</w:t>
            </w:r>
          </w:p>
        </w:tc>
      </w:tr>
      <w:tr>
        <w:tblPrEx>
          <w:tblLayout w:type="fixed"/>
          <w:tblCellMar>
            <w:left w:w="108" w:type="dxa"/>
            <w:right w:w="108" w:type="dxa"/>
          </w:tblCellMar>
          <w:tblLook w:val="0000"/>
        </w:tblPrEx>
        <w:trPr>
          <w:trHeight w:val="600"/>
        </w:trPr>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690"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人均小计</w:t>
            </w:r>
          </w:p>
        </w:tc>
        <w:tc>
          <w:tcPr>
            <w:tcW w:w="701"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人均人员经费</w:t>
            </w:r>
          </w:p>
        </w:tc>
        <w:tc>
          <w:tcPr>
            <w:tcW w:w="4129" w:type="dxa"/>
            <w:gridSpan w:val="3"/>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人均日常公用经费</w:t>
            </w:r>
          </w:p>
        </w:tc>
      </w:tr>
      <w:tr>
        <w:tblPrEx>
          <w:tblLayout w:type="fixed"/>
          <w:tblCellMar>
            <w:left w:w="108" w:type="dxa"/>
            <w:right w:w="108" w:type="dxa"/>
          </w:tblCellMar>
          <w:tblLook w:val="0000"/>
        </w:tblPrEx>
        <w:trPr>
          <w:trHeight w:val="300"/>
        </w:trPr>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rPr>
                <w:rFonts w:hint="default"/>
                <w:sz w:val="21"/>
              </w:rPr>
            </w:pPr>
          </w:p>
        </w:tc>
        <w:tc>
          <w:tcPr>
            <w:tcW w:w="701"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人均小计</w:t>
            </w:r>
          </w:p>
        </w:tc>
        <w:tc>
          <w:tcPr>
            <w:tcW w:w="694"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其中：人均工资福利支出</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人均小计</w:t>
            </w:r>
          </w:p>
        </w:tc>
        <w:tc>
          <w:tcPr>
            <w:tcW w:w="1875" w:type="dxa"/>
            <w:vMerge w:val="restart"/>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其中：人均办公费</w:t>
            </w:r>
          </w:p>
        </w:tc>
      </w:tr>
      <w:tr>
        <w:tblPrEx>
          <w:tblLayout w:type="fixed"/>
          <w:tblCellMar>
            <w:left w:w="108" w:type="dxa"/>
            <w:right w:w="108" w:type="dxa"/>
          </w:tblCellMar>
          <w:tblLook w:val="0000"/>
        </w:tblPrEx>
        <w:trPr>
          <w:trHeight w:val="300"/>
        </w:trPr>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r>
      <w:tr>
        <w:tblPrEx>
          <w:tblLayout w:type="fixed"/>
          <w:tblCellMar>
            <w:left w:w="108" w:type="dxa"/>
            <w:right w:w="108" w:type="dxa"/>
          </w:tblCellMar>
          <w:tblLook w:val="0000"/>
        </w:tblPrEx>
        <w:trPr>
          <w:trHeight w:val="900"/>
        </w:trPr>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kinsoku/>
              <w:autoSpaceDE/>
              <w:autoSpaceDN w:val="0"/>
              <w:textAlignment w:val="auto"/>
              <w:rPr>
                <w:rFonts w:hint="default"/>
                <w:snapToGrid/>
                <w:sz w:val="21"/>
                <w:lang w:eastAsia="zh-CN"/>
              </w:rPr>
            </w:pPr>
          </w:p>
        </w:tc>
      </w:tr>
      <w:tr>
        <w:tblPrEx>
          <w:tblLayout w:type="fixed"/>
          <w:tblCellMar>
            <w:left w:w="108" w:type="dxa"/>
            <w:right w:w="108" w:type="dxa"/>
          </w:tblCellMar>
          <w:tblLook w:val="0000"/>
        </w:tblPrEx>
        <w:trPr>
          <w:trHeight w:val="300"/>
        </w:trPr>
        <w:tc>
          <w:tcPr>
            <w:tcW w:w="58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1 </w:t>
            </w:r>
          </w:p>
        </w:tc>
        <w:tc>
          <w:tcPr>
            <w:tcW w:w="48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 xml:space="preserve">2 </w:t>
            </w:r>
          </w:p>
        </w:tc>
        <w:tc>
          <w:tcPr>
            <w:tcW w:w="727"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 xml:space="preserve">3 </w:t>
            </w:r>
          </w:p>
        </w:tc>
        <w:tc>
          <w:tcPr>
            <w:tcW w:w="72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 xml:space="preserve">11 </w:t>
            </w:r>
          </w:p>
        </w:tc>
        <w:tc>
          <w:tcPr>
            <w:tcW w:w="70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 xml:space="preserve">12 </w:t>
            </w:r>
          </w:p>
        </w:tc>
        <w:tc>
          <w:tcPr>
            <w:tcW w:w="69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 xml:space="preserve">13 </w:t>
            </w:r>
          </w:p>
        </w:tc>
        <w:tc>
          <w:tcPr>
            <w:tcW w:w="701"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 xml:space="preserve">14 </w:t>
            </w:r>
          </w:p>
        </w:tc>
        <w:tc>
          <w:tcPr>
            <w:tcW w:w="694"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 xml:space="preserve">15 </w:t>
            </w:r>
          </w:p>
        </w:tc>
        <w:tc>
          <w:tcPr>
            <w:tcW w:w="156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 xml:space="preserve">16 </w:t>
            </w:r>
          </w:p>
        </w:tc>
        <w:tc>
          <w:tcPr>
            <w:tcW w:w="187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 xml:space="preserve">17 </w:t>
            </w:r>
          </w:p>
        </w:tc>
      </w:tr>
      <w:tr>
        <w:tblPrEx>
          <w:tblLayout w:type="fixed"/>
          <w:tblCellMar>
            <w:left w:w="108" w:type="dxa"/>
            <w:right w:w="108" w:type="dxa"/>
          </w:tblCellMar>
          <w:tblLook w:val="0000"/>
        </w:tblPrEx>
        <w:trPr>
          <w:trHeight w:val="300"/>
        </w:trPr>
        <w:tc>
          <w:tcPr>
            <w:tcW w:w="58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59</w:t>
            </w:r>
          </w:p>
        </w:tc>
        <w:tc>
          <w:tcPr>
            <w:tcW w:w="48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59</w:t>
            </w:r>
          </w:p>
        </w:tc>
        <w:tc>
          <w:tcPr>
            <w:tcW w:w="727"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0</w:t>
            </w:r>
          </w:p>
        </w:tc>
        <w:tc>
          <w:tcPr>
            <w:tcW w:w="72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20.72</w:t>
            </w:r>
          </w:p>
        </w:tc>
        <w:tc>
          <w:tcPr>
            <w:tcW w:w="70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0.00</w:t>
            </w:r>
          </w:p>
        </w:tc>
        <w:tc>
          <w:tcPr>
            <w:tcW w:w="69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22.48</w:t>
            </w:r>
          </w:p>
        </w:tc>
        <w:tc>
          <w:tcPr>
            <w:tcW w:w="701"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21.82</w:t>
            </w:r>
          </w:p>
        </w:tc>
        <w:tc>
          <w:tcPr>
            <w:tcW w:w="694"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20.72</w:t>
            </w:r>
          </w:p>
        </w:tc>
        <w:tc>
          <w:tcPr>
            <w:tcW w:w="156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0.67</w:t>
            </w:r>
          </w:p>
        </w:tc>
        <w:tc>
          <w:tcPr>
            <w:tcW w:w="187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righ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0.30</w:t>
            </w:r>
          </w:p>
        </w:tc>
      </w:tr>
    </w:tbl>
    <w:p>
      <w:pPr>
        <w:widowControl/>
        <w:snapToGrid w:val="0"/>
        <w:spacing w:before="100" w:beforeLines="0" w:after="100" w:afterLines="0" w:line="600" w:lineRule="exact"/>
        <w:ind w:firstLine="600" w:firstLineChars="200"/>
        <w:jc w:val="left"/>
        <w:rPr>
          <w:rFonts w:ascii="楷体" w:eastAsia="楷体" w:hAnsi="楷体" w:hint="eastAsia"/>
          <w:sz w:val="30"/>
          <w:szCs w:val="30"/>
        </w:rPr>
      </w:pPr>
      <w:r>
        <w:rPr>
          <w:rFonts w:ascii="楷体" w:eastAsia="楷体" w:hAnsi="楷体" w:hint="eastAsia"/>
          <w:sz w:val="30"/>
          <w:szCs w:val="30"/>
        </w:rPr>
        <w:t>（二）项目支出情况</w:t>
      </w:r>
    </w:p>
    <w:p>
      <w:pPr>
        <w:snapToGrid w:val="0"/>
        <w:spacing w:line="520" w:lineRule="exact"/>
        <w:ind w:firstLine="600" w:firstLineChars="200"/>
        <w:rPr>
          <w:rFonts w:ascii="仿宋_GB2312" w:eastAsia="仿宋_GB2312" w:hAnsi="仿宋" w:hint="eastAsia"/>
          <w:sz w:val="30"/>
          <w:szCs w:val="30"/>
        </w:rPr>
      </w:pPr>
      <w:r>
        <w:rPr>
          <w:rFonts w:ascii="仿宋_GB2312" w:eastAsia="仿宋_GB2312" w:hint="eastAsia"/>
          <w:sz w:val="30"/>
          <w:szCs w:val="30"/>
          <w:lang w:val="en-US" w:eastAsia="zh-CN"/>
        </w:rPr>
        <w:t>2018</w:t>
      </w:r>
      <w:r>
        <w:rPr>
          <w:rFonts w:ascii="仿宋_GB2312" w:eastAsia="仿宋_GB2312" w:hint="eastAsia"/>
          <w:sz w:val="30"/>
          <w:szCs w:val="30"/>
        </w:rPr>
        <w:t>年度用于保障机构为完成特定的行政工作任务目标，用于专项业务工作的经费支出</w:t>
      </w:r>
      <w:r>
        <w:rPr>
          <w:rFonts w:ascii="仿宋_GB2312" w:eastAsia="仿宋_GB2312" w:hAnsi="仿宋" w:hint="eastAsia"/>
          <w:sz w:val="30"/>
          <w:szCs w:val="30"/>
        </w:rPr>
        <w:t>11986.13</w:t>
      </w:r>
      <w:r>
        <w:rPr>
          <w:rFonts w:ascii="仿宋_GB2312" w:eastAsia="仿宋_GB2312" w:hint="eastAsia"/>
          <w:sz w:val="30"/>
          <w:szCs w:val="30"/>
        </w:rPr>
        <w:t>万元。</w:t>
      </w:r>
      <w:r>
        <w:rPr>
          <w:rFonts w:ascii="仿宋_GB2312" w:eastAsia="仿宋_GB2312" w:hint="eastAsia"/>
          <w:sz w:val="30"/>
          <w:szCs w:val="30"/>
          <w:lang w:eastAsia="zh-CN"/>
        </w:rPr>
        <w:t>比上年度减少</w:t>
      </w:r>
      <w:r>
        <w:rPr>
          <w:rFonts w:ascii="仿宋_GB2312" w:eastAsia="仿宋_GB2312" w:hint="eastAsia"/>
          <w:sz w:val="30"/>
          <w:szCs w:val="30"/>
          <w:lang w:val="en-US" w:eastAsia="zh-CN"/>
        </w:rPr>
        <w:t>653.26万元，减少5.17%，</w:t>
      </w:r>
      <w:r>
        <w:rPr>
          <w:rFonts w:ascii="仿宋_GB2312" w:eastAsia="仿宋_GB2312" w:hAnsi="仿宋" w:hint="eastAsia"/>
          <w:sz w:val="30"/>
          <w:szCs w:val="30"/>
        </w:rPr>
        <w:t>减少原因为本年度基本建设类项目支出减少。</w:t>
      </w:r>
    </w:p>
    <w:p>
      <w:pPr>
        <w:snapToGrid w:val="0"/>
        <w:spacing w:line="520" w:lineRule="exact"/>
        <w:rPr>
          <w:rFonts w:ascii="仿宋_GB2312" w:eastAsia="仿宋_GB2312" w:hAnsi="仿宋" w:hint="eastAsia"/>
          <w:sz w:val="30"/>
          <w:szCs w:val="30"/>
          <w:lang w:eastAsia="zh-CN"/>
        </w:rPr>
      </w:pPr>
      <w:r>
        <w:rPr>
          <w:rFonts w:ascii="仿宋_GB2312" w:eastAsia="仿宋_GB2312" w:hAnsi="仿宋" w:hint="eastAsia"/>
          <w:sz w:val="24"/>
          <w:szCs w:val="24"/>
          <w:lang w:eastAsia="zh-CN"/>
        </w:rPr>
        <w:t>具体项目支出及工作开展情况分析表：</w:t>
      </w:r>
    </w:p>
    <w:tbl>
      <w:tblP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Look w:val="0000"/>
      </w:tblPr>
      <w:tblGrid>
        <w:gridCol w:w="2040"/>
        <w:gridCol w:w="1845"/>
        <w:gridCol w:w="4695"/>
      </w:tblGrid>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项目名称</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center"/>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支出金额</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开展具体工作情况</w:t>
            </w:r>
          </w:p>
        </w:tc>
      </w:tr>
      <w:tr>
        <w:tblPrEx>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其他退耕还林支出</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6,223,200.00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陡坡地治理苗木费及现金补助</w:t>
            </w:r>
          </w:p>
        </w:tc>
      </w:tr>
      <w:tr>
        <w:tblPrEx>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其他风沙荒漠治理支出</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both"/>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7,157,750.00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石漠化治理造林及封山育林</w:t>
            </w:r>
          </w:p>
        </w:tc>
      </w:tr>
      <w:tr>
        <w:tblPrEx>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林业事业机构</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31,265,546.74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生态护林员补助</w:t>
            </w:r>
          </w:p>
        </w:tc>
      </w:tr>
      <w:tr>
        <w:tblPrEx>
          <w:tblLayout w:type="fixed"/>
          <w:tblCellMar>
            <w:left w:w="108" w:type="dxa"/>
            <w:right w:w="108" w:type="dxa"/>
          </w:tblCellMar>
          <w:tblLook w:val="0000"/>
        </w:tblPrEx>
        <w:trPr>
          <w:trHeight w:val="240"/>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森林培育</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12,412,250.00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森林抚育、营造林等</w:t>
            </w:r>
          </w:p>
        </w:tc>
      </w:tr>
      <w:tr>
        <w:tblPrEx>
          <w:tblLayout w:type="fixed"/>
          <w:tblCellMar>
            <w:left w:w="108" w:type="dxa"/>
            <w:right w:w="108" w:type="dxa"/>
          </w:tblCellMar>
          <w:tblLook w:val="0000"/>
        </w:tblPrEx>
        <w:trPr>
          <w:trHeight w:val="240"/>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林业技术推广</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100,000.00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林业技术推广设备购置</w:t>
            </w:r>
          </w:p>
        </w:tc>
      </w:tr>
      <w:tr>
        <w:tblPrEx>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森林生态效益补偿</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29,336,143.22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公益林补偿费及管护费</w:t>
            </w:r>
          </w:p>
        </w:tc>
      </w:tr>
      <w:tr>
        <w:tblPrEx>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动植物保护</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350,000.00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动植物保护工作经费、林地租金</w:t>
            </w:r>
          </w:p>
        </w:tc>
      </w:tr>
      <w:tr>
        <w:tblPrEx>
          <w:tblLayout w:type="fixed"/>
          <w:tblCellMar>
            <w:left w:w="108" w:type="dxa"/>
            <w:right w:w="108" w:type="dxa"/>
          </w:tblCellMar>
          <w:tblLook w:val="0000"/>
        </w:tblPrEx>
        <w:trPr>
          <w:trHeight w:val="480"/>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成品油价格改革对林业的补贴</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152,862.00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燃油费</w:t>
            </w:r>
          </w:p>
        </w:tc>
      </w:tr>
      <w:tr>
        <w:tblPrEx>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林业防灾减灾</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1,996,349.70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森林防火工作经费</w:t>
            </w:r>
          </w:p>
        </w:tc>
      </w:tr>
      <w:tr>
        <w:tblPrEx>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其他林业支出</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3,400,000.00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木本油料提质增效、林下经济发展、善洲林苗木费等</w:t>
            </w:r>
          </w:p>
        </w:tc>
      </w:tr>
      <w:tr>
        <w:tblPrEx>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生产发展</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26,072,000.00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扶贫产业（经济林果种植）资金</w:t>
            </w:r>
          </w:p>
        </w:tc>
      </w:tr>
      <w:tr>
        <w:tblPrEx>
          <w:tblLayout w:type="fixed"/>
          <w:tblCellMar>
            <w:left w:w="108" w:type="dxa"/>
            <w:right w:w="108" w:type="dxa"/>
          </w:tblCellMar>
          <w:tblLook w:val="0000"/>
        </w:tblPrEx>
        <w:trPr>
          <w:trHeight w:val="28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其他农林水支出</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 xml:space="preserve">1,395,200.00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20"/>
                <w:u w:val="none"/>
                <w:lang w:eastAsia="zh-CN"/>
              </w:rPr>
            </w:pPr>
            <w:r>
              <w:rPr>
                <w:rFonts w:ascii="宋体" w:eastAsia="宋体" w:hAnsi="宋体" w:hint="default"/>
                <w:b w:val="0"/>
                <w:i w:val="0"/>
                <w:snapToGrid/>
                <w:color w:val="000000"/>
                <w:sz w:val="20"/>
                <w:u w:val="none"/>
                <w:lang w:eastAsia="zh-CN"/>
              </w:rPr>
              <w:t>石漠化治理造林及封山育林</w:t>
            </w:r>
          </w:p>
        </w:tc>
      </w:tr>
      <w:tr>
        <w:tblPrEx>
          <w:tblLayout w:type="fixed"/>
          <w:tblCellMar>
            <w:left w:w="108" w:type="dxa"/>
            <w:right w:w="108" w:type="dxa"/>
          </w:tblCellMar>
          <w:tblLook w:val="0000"/>
        </w:tblPrEx>
        <w:trPr>
          <w:trHeight w:val="375"/>
        </w:trPr>
        <w:tc>
          <w:tcPr>
            <w:tcW w:w="2040"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val="0"/>
                <w:i w:val="0"/>
                <w:snapToGrid/>
                <w:color w:val="000000"/>
                <w:sz w:val="18"/>
                <w:u w:val="none"/>
                <w:lang w:eastAsia="zh-CN"/>
              </w:rPr>
            </w:pPr>
            <w:r>
              <w:rPr>
                <w:rFonts w:ascii="宋体" w:eastAsia="宋体" w:hAnsi="宋体" w:hint="default"/>
                <w:b w:val="0"/>
                <w:i w:val="0"/>
                <w:snapToGrid/>
                <w:color w:val="000000"/>
                <w:sz w:val="18"/>
                <w:u w:val="none"/>
                <w:lang w:eastAsia="zh-CN"/>
              </w:rPr>
              <w:t>合计</w:t>
            </w:r>
          </w:p>
        </w:tc>
        <w:tc>
          <w:tcPr>
            <w:tcW w:w="184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both"/>
              <w:textAlignment w:val="center"/>
              <w:rPr>
                <w:rFonts w:ascii="宋体" w:eastAsia="宋体" w:hAnsi="宋体" w:hint="default"/>
                <w:b/>
                <w:i w:val="0"/>
                <w:snapToGrid/>
                <w:color w:val="000000"/>
                <w:sz w:val="20"/>
                <w:u w:val="none"/>
                <w:lang w:eastAsia="zh-CN"/>
              </w:rPr>
            </w:pPr>
            <w:r>
              <w:rPr>
                <w:rFonts w:ascii="宋体" w:eastAsia="宋体" w:hAnsi="宋体" w:hint="default"/>
                <w:b/>
                <w:i w:val="0"/>
                <w:snapToGrid/>
                <w:color w:val="000000"/>
                <w:sz w:val="20"/>
                <w:u w:val="none"/>
                <w:lang w:eastAsia="zh-CN"/>
              </w:rPr>
              <w:t xml:space="preserve">119,861,301.66 </w:t>
            </w:r>
          </w:p>
        </w:tc>
        <w:tc>
          <w:tcPr>
            <w:tcW w:w="4695" w:type="dxa"/>
            <w:tcBorders>
              <w:top w:val="single" w:sz="4" w:space="0" w:color="000000"/>
              <w:left w:val="single" w:sz="4" w:space="0" w:color="000000"/>
              <w:bottom w:val="single" w:sz="4" w:space="0" w:color="000000"/>
              <w:right w:val="single" w:sz="4" w:space="0" w:color="000000"/>
            </w:tcBorders>
            <w:vAlign w:val="center"/>
          </w:tcPr>
          <w:p>
            <w:pPr>
              <w:kinsoku/>
              <w:autoSpaceDE/>
              <w:autoSpaceDN w:val="0"/>
              <w:jc w:val="left"/>
              <w:textAlignment w:val="center"/>
              <w:rPr>
                <w:rFonts w:ascii="宋体" w:eastAsia="宋体" w:hAnsi="宋体" w:hint="default"/>
                <w:b/>
                <w:i w:val="0"/>
                <w:snapToGrid/>
                <w:color w:val="000000"/>
                <w:sz w:val="20"/>
                <w:u w:val="none"/>
                <w:lang w:eastAsia="zh-CN"/>
              </w:rPr>
            </w:pPr>
          </w:p>
        </w:tc>
      </w:tr>
    </w:tbl>
    <w:p>
      <w:pPr>
        <w:widowControl/>
        <w:snapToGrid w:val="0"/>
        <w:spacing w:before="100" w:beforeLines="0" w:after="100" w:afterLines="0" w:line="600" w:lineRule="exact"/>
        <w:ind w:firstLine="600" w:firstLineChars="200"/>
        <w:jc w:val="left"/>
        <w:rPr>
          <w:rFonts w:ascii="黑体" w:eastAsia="黑体" w:hAnsi="黑体" w:hint="eastAsia"/>
          <w:sz w:val="30"/>
          <w:szCs w:val="30"/>
        </w:rPr>
      </w:pPr>
      <w:r>
        <w:rPr>
          <w:rFonts w:ascii="黑体" w:eastAsia="黑体" w:hAnsi="黑体" w:hint="eastAsia"/>
          <w:sz w:val="30"/>
          <w:szCs w:val="30"/>
        </w:rPr>
        <w:t>三、一般公共预算财政拨款支出决算情况说明</w:t>
      </w:r>
    </w:p>
    <w:p>
      <w:pPr>
        <w:widowControl/>
        <w:snapToGrid w:val="0"/>
        <w:spacing w:before="100" w:beforeLines="0" w:after="100" w:afterLines="0" w:line="600" w:lineRule="exact"/>
        <w:ind w:firstLine="600" w:firstLineChars="200"/>
        <w:jc w:val="left"/>
        <w:rPr>
          <w:rFonts w:ascii="楷体" w:eastAsia="楷体" w:hAnsi="楷体" w:hint="eastAsia"/>
          <w:sz w:val="30"/>
          <w:szCs w:val="30"/>
        </w:rPr>
      </w:pPr>
      <w:r>
        <w:rPr>
          <w:rFonts w:ascii="楷体" w:eastAsia="楷体" w:hAnsi="楷体" w:hint="eastAsia"/>
          <w:sz w:val="30"/>
          <w:szCs w:val="30"/>
        </w:rPr>
        <w:t>（一）一般公共预算财政拨款支出决算总体情况</w:t>
      </w:r>
    </w:p>
    <w:p>
      <w:pPr>
        <w:snapToGrid w:val="0"/>
        <w:spacing w:line="520" w:lineRule="exact"/>
        <w:ind w:firstLine="600" w:firstLineChars="200"/>
        <w:rPr>
          <w:rFonts w:ascii="仿宋_GB2312" w:eastAsia="仿宋_GB2312" w:hAnsi="宋体" w:cs="Arial" w:hint="eastAsia"/>
          <w:kern w:val="0"/>
          <w:sz w:val="30"/>
          <w:szCs w:val="30"/>
        </w:rPr>
      </w:pPr>
      <w:r>
        <w:rPr>
          <w:rFonts w:ascii="仿宋_GB2312" w:eastAsia="仿宋_GB2312" w:hint="eastAsia"/>
          <w:sz w:val="30"/>
          <w:szCs w:val="30"/>
          <w:lang w:eastAsia="zh-CN"/>
        </w:rPr>
        <w:t>维西县林业局</w:t>
      </w:r>
      <w:r>
        <w:rPr>
          <w:rFonts w:ascii="仿宋_GB2312" w:eastAsia="仿宋_GB2312" w:hint="eastAsia"/>
          <w:sz w:val="30"/>
          <w:szCs w:val="30"/>
          <w:lang w:val="en-US" w:eastAsia="zh-CN"/>
        </w:rPr>
        <w:t>2018</w:t>
      </w:r>
      <w:r>
        <w:rPr>
          <w:rFonts w:ascii="仿宋_GB2312" w:eastAsia="仿宋_GB2312" w:hint="eastAsia"/>
          <w:sz w:val="30"/>
          <w:szCs w:val="30"/>
        </w:rPr>
        <w:t>年度一般公共预算财政拨款支出</w:t>
      </w:r>
      <w:r>
        <w:rPr>
          <w:rFonts w:ascii="仿宋_GB2312" w:eastAsia="仿宋_GB2312" w:hAnsi="宋体" w:cs="Arial" w:hint="eastAsia"/>
          <w:kern w:val="0"/>
          <w:sz w:val="30"/>
          <w:szCs w:val="30"/>
          <w:lang w:val="en-US" w:eastAsia="zh-CN"/>
        </w:rPr>
        <w:t>13312.68</w:t>
      </w:r>
      <w:r>
        <w:rPr>
          <w:rFonts w:ascii="仿宋_GB2312" w:eastAsia="仿宋_GB2312" w:hAnsi="宋体" w:cs="Arial" w:hint="eastAsia"/>
          <w:kern w:val="0"/>
          <w:sz w:val="30"/>
          <w:szCs w:val="30"/>
        </w:rPr>
        <w:t>万元,占本年支出合计的</w:t>
      </w:r>
      <w:r>
        <w:rPr>
          <w:rFonts w:ascii="仿宋_GB2312" w:eastAsia="仿宋_GB2312" w:hint="eastAsia"/>
          <w:sz w:val="30"/>
          <w:szCs w:val="30"/>
          <w:lang w:val="en-US" w:eastAsia="zh-CN"/>
        </w:rPr>
        <w:t>100</w:t>
      </w:r>
      <w:r>
        <w:rPr>
          <w:rFonts w:ascii="仿宋_GB2312" w:eastAsia="仿宋_GB2312" w:hAnsi="宋体" w:cs="Arial" w:hint="eastAsia"/>
          <w:kern w:val="0"/>
          <w:sz w:val="30"/>
          <w:szCs w:val="30"/>
        </w:rPr>
        <w:t>%。</w:t>
      </w:r>
      <w:r>
        <w:rPr>
          <w:rFonts w:ascii="仿宋_GB2312" w:eastAsia="仿宋_GB2312" w:hAnsi="仿宋" w:hint="eastAsia"/>
          <w:sz w:val="30"/>
          <w:szCs w:val="30"/>
        </w:rPr>
        <w:t>本年度比上年度减少支出455.25万元，减少3.3%，减少原因为本年度基本建设类项目支出减少。</w:t>
      </w:r>
    </w:p>
    <w:p>
      <w:pPr>
        <w:widowControl/>
        <w:snapToGrid w:val="0"/>
        <w:spacing w:before="100" w:beforeLines="0" w:after="100" w:afterLines="0" w:line="600" w:lineRule="exact"/>
        <w:ind w:firstLine="600" w:firstLineChars="200"/>
        <w:jc w:val="left"/>
        <w:rPr>
          <w:rFonts w:ascii="楷体" w:eastAsia="楷体" w:hAnsi="楷体" w:hint="eastAsia"/>
          <w:sz w:val="30"/>
          <w:szCs w:val="30"/>
        </w:rPr>
      </w:pPr>
      <w:r>
        <w:rPr>
          <w:rFonts w:ascii="楷体" w:eastAsia="楷体" w:hAnsi="楷体" w:hint="eastAsia"/>
          <w:sz w:val="30"/>
          <w:szCs w:val="30"/>
        </w:rPr>
        <w:t>（二）一般公共预算财政拨款支出决算具体情况</w:t>
      </w:r>
      <w:r>
        <w:rPr>
          <w:rFonts w:ascii="楷体" w:eastAsia="楷体" w:hAnsi="楷体" w:hint="eastAsia"/>
          <w:sz w:val="30"/>
          <w:szCs w:val="30"/>
        </w:rPr>
        <w:tab/>
      </w:r>
      <w:r>
        <w:rPr>
          <w:rFonts w:ascii="楷体" w:eastAsia="楷体" w:hAnsi="楷体" w:hint="eastAsia"/>
          <w:sz w:val="30"/>
          <w:szCs w:val="30"/>
        </w:rPr>
        <w:tab/>
      </w:r>
      <w:r>
        <w:rPr>
          <w:rFonts w:ascii="楷体" w:eastAsia="楷体" w:hAnsi="楷体" w:hint="eastAsia"/>
          <w:sz w:val="30"/>
          <w:szCs w:val="30"/>
        </w:rPr>
        <w:tab/>
      </w:r>
    </w:p>
    <w:p>
      <w:pPr>
        <w:widowControl/>
        <w:snapToGrid w:val="0"/>
        <w:spacing w:before="100" w:beforeLines="0" w:after="100" w:afterLines="0" w:line="360" w:lineRule="auto"/>
        <w:ind w:firstLine="600" w:firstLineChars="200"/>
        <w:jc w:val="left"/>
        <w:rPr>
          <w:rFonts w:ascii="仿宋_GB2312" w:eastAsia="仿宋_GB2312" w:hAnsi="宋体" w:cs="Arial" w:hint="eastAsia"/>
          <w:kern w:val="0"/>
          <w:sz w:val="30"/>
          <w:szCs w:val="30"/>
        </w:rPr>
      </w:pPr>
      <w:r>
        <w:rPr>
          <w:rFonts w:ascii="仿宋_GB2312" w:eastAsia="仿宋_GB2312" w:hAnsi="宋体" w:cs="Arial" w:hint="eastAsia"/>
          <w:kern w:val="0"/>
          <w:sz w:val="30"/>
          <w:szCs w:val="30"/>
        </w:rPr>
        <w:t>1.</w:t>
      </w:r>
      <w:r>
        <w:rPr>
          <w:rFonts w:ascii="仿宋_GB2312" w:eastAsia="仿宋_GB2312" w:hAnsi="宋体" w:cs="Arial" w:hint="eastAsia"/>
          <w:kern w:val="0"/>
          <w:sz w:val="30"/>
          <w:szCs w:val="30"/>
          <w:lang w:eastAsia="zh-CN"/>
        </w:rPr>
        <w:t>社会保障和就业支出</w:t>
      </w:r>
      <w:r>
        <w:rPr>
          <w:rFonts w:ascii="仿宋_GB2312" w:eastAsia="仿宋_GB2312" w:hAnsi="宋体" w:cs="Arial" w:hint="eastAsia"/>
          <w:kern w:val="0"/>
          <w:sz w:val="30"/>
          <w:szCs w:val="30"/>
          <w:lang w:val="en-US" w:eastAsia="zh-CN"/>
        </w:rPr>
        <w:t>149.48</w:t>
      </w:r>
      <w:r>
        <w:rPr>
          <w:rFonts w:ascii="仿宋_GB2312" w:eastAsia="仿宋_GB2312" w:hAnsi="宋体" w:cs="Arial" w:hint="eastAsia"/>
          <w:kern w:val="0"/>
          <w:sz w:val="30"/>
          <w:szCs w:val="30"/>
        </w:rPr>
        <w:t>万元，</w:t>
      </w:r>
      <w:r>
        <w:rPr>
          <w:rFonts w:ascii="仿宋_GB2312" w:eastAsia="仿宋_GB2312" w:hint="eastAsia"/>
          <w:sz w:val="30"/>
          <w:szCs w:val="30"/>
        </w:rPr>
        <w:t>占一般公共预算财政拨款总支出的</w:t>
      </w:r>
      <w:r>
        <w:rPr>
          <w:rFonts w:ascii="仿宋_GB2312" w:eastAsia="仿宋_GB2312" w:hint="eastAsia"/>
          <w:sz w:val="30"/>
          <w:szCs w:val="30"/>
          <w:lang w:val="en-US" w:eastAsia="zh-CN"/>
        </w:rPr>
        <w:t>1.12</w:t>
      </w:r>
      <w:r>
        <w:rPr>
          <w:rFonts w:ascii="仿宋_GB2312" w:eastAsia="仿宋_GB2312" w:hint="eastAsia"/>
          <w:sz w:val="30"/>
          <w:szCs w:val="30"/>
        </w:rPr>
        <w:t>%。</w:t>
      </w:r>
      <w:r>
        <w:rPr>
          <w:rFonts w:ascii="仿宋_GB2312" w:eastAsia="仿宋_GB2312" w:hAnsi="宋体" w:cs="Arial" w:hint="eastAsia"/>
          <w:kern w:val="0"/>
          <w:sz w:val="30"/>
          <w:szCs w:val="30"/>
        </w:rPr>
        <w:t>主要用于</w:t>
      </w:r>
      <w:r>
        <w:rPr>
          <w:rFonts w:ascii="仿宋_GB2312" w:eastAsia="仿宋_GB2312" w:hAnsi="宋体" w:cs="Arial" w:hint="eastAsia"/>
          <w:kern w:val="0"/>
          <w:sz w:val="30"/>
          <w:szCs w:val="30"/>
          <w:lang w:eastAsia="zh-CN"/>
        </w:rPr>
        <w:t>缴纳养老保险金和退休职工职业年金</w:t>
      </w:r>
      <w:r>
        <w:rPr>
          <w:rFonts w:ascii="仿宋_GB2312" w:eastAsia="仿宋_GB2312" w:hAnsi="宋体" w:cs="Arial" w:hint="eastAsia"/>
          <w:kern w:val="0"/>
          <w:sz w:val="30"/>
          <w:szCs w:val="30"/>
        </w:rPr>
        <w:t>；</w:t>
      </w:r>
    </w:p>
    <w:p>
      <w:pPr>
        <w:widowControl/>
        <w:snapToGrid w:val="0"/>
        <w:spacing w:before="100" w:beforeLines="0" w:after="100" w:afterLines="0" w:line="360" w:lineRule="auto"/>
        <w:ind w:firstLine="600" w:firstLineChars="200"/>
        <w:jc w:val="left"/>
        <w:rPr>
          <w:rFonts w:ascii="仿宋_GB2312" w:eastAsia="仿宋_GB2312" w:hAnsi="宋体" w:cs="Arial" w:hint="eastAsia"/>
          <w:kern w:val="0"/>
          <w:sz w:val="30"/>
          <w:szCs w:val="30"/>
        </w:rPr>
      </w:pPr>
      <w:r>
        <w:rPr>
          <w:rFonts w:ascii="仿宋_GB2312" w:eastAsia="仿宋_GB2312" w:hAnsi="宋体" w:cs="Arial" w:hint="eastAsia"/>
          <w:kern w:val="0"/>
          <w:sz w:val="30"/>
          <w:szCs w:val="30"/>
        </w:rPr>
        <w:t>2.</w:t>
      </w:r>
      <w:r>
        <w:rPr>
          <w:rFonts w:ascii="仿宋_GB2312" w:eastAsia="仿宋_GB2312" w:hAnsi="宋体" w:cs="Arial" w:hint="eastAsia"/>
          <w:kern w:val="0"/>
          <w:sz w:val="30"/>
          <w:szCs w:val="30"/>
          <w:lang w:eastAsia="zh-CN"/>
        </w:rPr>
        <w:t>医疗卫生与计划生育</w:t>
      </w:r>
      <w:r>
        <w:rPr>
          <w:rFonts w:ascii="仿宋_GB2312" w:eastAsia="仿宋_GB2312" w:hAnsi="宋体" w:cs="Arial" w:hint="eastAsia"/>
          <w:kern w:val="0"/>
          <w:sz w:val="30"/>
          <w:szCs w:val="30"/>
        </w:rPr>
        <w:t>支出</w:t>
      </w:r>
      <w:r>
        <w:rPr>
          <w:rFonts w:ascii="仿宋_GB2312" w:eastAsia="仿宋_GB2312" w:hint="eastAsia"/>
          <w:sz w:val="30"/>
          <w:szCs w:val="30"/>
          <w:lang w:val="en-US" w:eastAsia="zh-CN"/>
        </w:rPr>
        <w:t>79.22</w:t>
      </w:r>
      <w:r>
        <w:rPr>
          <w:rFonts w:ascii="仿宋_GB2312" w:eastAsia="仿宋_GB2312" w:hAnsi="宋体" w:cs="Arial" w:hint="eastAsia"/>
          <w:kern w:val="0"/>
          <w:sz w:val="30"/>
          <w:szCs w:val="30"/>
        </w:rPr>
        <w:t>万元，</w:t>
      </w:r>
      <w:r>
        <w:rPr>
          <w:rFonts w:ascii="仿宋_GB2312" w:eastAsia="仿宋_GB2312" w:hint="eastAsia"/>
          <w:sz w:val="30"/>
          <w:szCs w:val="30"/>
        </w:rPr>
        <w:t>占一般公共预算财政拨款总支出的</w:t>
      </w:r>
      <w:r>
        <w:rPr>
          <w:rFonts w:ascii="仿宋_GB2312" w:eastAsia="仿宋_GB2312" w:hint="eastAsia"/>
          <w:sz w:val="30"/>
          <w:szCs w:val="30"/>
          <w:lang w:val="en-US" w:eastAsia="zh-CN"/>
        </w:rPr>
        <w:t>0.6</w:t>
      </w:r>
      <w:r>
        <w:rPr>
          <w:rFonts w:ascii="仿宋_GB2312" w:eastAsia="仿宋_GB2312" w:hint="eastAsia"/>
          <w:sz w:val="30"/>
          <w:szCs w:val="30"/>
        </w:rPr>
        <w:t>%。</w:t>
      </w:r>
      <w:r>
        <w:rPr>
          <w:rFonts w:ascii="仿宋_GB2312" w:eastAsia="仿宋_GB2312" w:hAnsi="宋体" w:cs="Arial" w:hint="eastAsia"/>
          <w:kern w:val="0"/>
          <w:sz w:val="30"/>
          <w:szCs w:val="30"/>
        </w:rPr>
        <w:t>主要用于</w:t>
      </w:r>
      <w:r>
        <w:rPr>
          <w:rFonts w:ascii="仿宋_GB2312" w:eastAsia="仿宋_GB2312" w:hAnsi="宋体" w:cs="Arial" w:hint="eastAsia"/>
          <w:kern w:val="0"/>
          <w:sz w:val="30"/>
          <w:szCs w:val="30"/>
          <w:lang w:eastAsia="zh-CN"/>
        </w:rPr>
        <w:t>缴纳医疗保险金、公务员医疗保险、工伤保险及失业保险</w:t>
      </w:r>
      <w:r>
        <w:rPr>
          <w:rFonts w:ascii="仿宋_GB2312" w:eastAsia="仿宋_GB2312" w:hAnsi="宋体" w:cs="Arial" w:hint="eastAsia"/>
          <w:kern w:val="0"/>
          <w:sz w:val="30"/>
          <w:szCs w:val="30"/>
        </w:rPr>
        <w:t>；</w:t>
      </w:r>
    </w:p>
    <w:p>
      <w:pPr>
        <w:widowControl/>
        <w:snapToGrid w:val="0"/>
        <w:spacing w:before="100" w:beforeLines="0" w:after="100" w:afterLines="0" w:line="360" w:lineRule="auto"/>
        <w:ind w:firstLine="600" w:firstLineChars="200"/>
        <w:jc w:val="left"/>
        <w:rPr>
          <w:rFonts w:ascii="仿宋_GB2312" w:eastAsia="仿宋_GB2312" w:hAnsi="宋体" w:cs="Arial" w:hint="eastAsia"/>
          <w:kern w:val="0"/>
          <w:sz w:val="30"/>
          <w:szCs w:val="30"/>
        </w:rPr>
      </w:pPr>
      <w:r>
        <w:rPr>
          <w:rFonts w:ascii="仿宋_GB2312" w:eastAsia="仿宋_GB2312" w:hAnsi="宋体" w:cs="Arial" w:hint="eastAsia"/>
          <w:kern w:val="0"/>
          <w:sz w:val="30"/>
          <w:szCs w:val="30"/>
        </w:rPr>
        <w:t>3.</w:t>
      </w:r>
      <w:r>
        <w:rPr>
          <w:rFonts w:ascii="仿宋_GB2312" w:eastAsia="仿宋_GB2312" w:hAnsi="宋体" w:cs="Arial" w:hint="eastAsia"/>
          <w:kern w:val="0"/>
          <w:sz w:val="30"/>
          <w:szCs w:val="30"/>
          <w:lang w:eastAsia="zh-CN"/>
        </w:rPr>
        <w:t>节能环保</w:t>
      </w:r>
      <w:r>
        <w:rPr>
          <w:rFonts w:ascii="仿宋_GB2312" w:eastAsia="仿宋_GB2312" w:hAnsi="宋体" w:cs="Arial" w:hint="eastAsia"/>
          <w:kern w:val="0"/>
          <w:sz w:val="30"/>
          <w:szCs w:val="30"/>
        </w:rPr>
        <w:t>支出</w:t>
      </w:r>
      <w:r>
        <w:rPr>
          <w:rFonts w:ascii="仿宋_GB2312" w:eastAsia="仿宋_GB2312" w:hint="eastAsia"/>
          <w:sz w:val="30"/>
          <w:szCs w:val="30"/>
          <w:lang w:val="en-US" w:eastAsia="zh-CN"/>
        </w:rPr>
        <w:t>1338.09</w:t>
      </w:r>
      <w:r>
        <w:rPr>
          <w:rFonts w:ascii="仿宋_GB2312" w:eastAsia="仿宋_GB2312" w:hAnsi="宋体" w:cs="Arial" w:hint="eastAsia"/>
          <w:kern w:val="0"/>
          <w:sz w:val="30"/>
          <w:szCs w:val="30"/>
        </w:rPr>
        <w:t>万元，</w:t>
      </w:r>
      <w:r>
        <w:rPr>
          <w:rFonts w:ascii="仿宋_GB2312" w:eastAsia="仿宋_GB2312" w:hint="eastAsia"/>
          <w:sz w:val="30"/>
          <w:szCs w:val="30"/>
        </w:rPr>
        <w:t>占一般公共预算财政拨款总支出的</w:t>
      </w:r>
      <w:r>
        <w:rPr>
          <w:rFonts w:ascii="仿宋_GB2312" w:eastAsia="仿宋_GB2312" w:hint="eastAsia"/>
          <w:sz w:val="30"/>
          <w:szCs w:val="30"/>
          <w:lang w:val="en-US" w:eastAsia="zh-CN"/>
        </w:rPr>
        <w:t>10.05</w:t>
      </w:r>
      <w:r>
        <w:rPr>
          <w:rFonts w:ascii="仿宋_GB2312" w:eastAsia="仿宋_GB2312" w:hint="eastAsia"/>
          <w:sz w:val="30"/>
          <w:szCs w:val="30"/>
        </w:rPr>
        <w:t>%。</w:t>
      </w:r>
      <w:r>
        <w:rPr>
          <w:rFonts w:ascii="仿宋_GB2312" w:eastAsia="仿宋_GB2312" w:hAnsi="宋体" w:cs="Arial" w:hint="eastAsia"/>
          <w:kern w:val="0"/>
          <w:sz w:val="30"/>
          <w:szCs w:val="30"/>
        </w:rPr>
        <w:t>主要用于</w:t>
      </w:r>
      <w:r>
        <w:rPr>
          <w:rFonts w:ascii="仿宋_GB2312" w:eastAsia="仿宋_GB2312" w:hAnsi="宋体" w:cs="Arial" w:hint="eastAsia"/>
          <w:kern w:val="0"/>
          <w:sz w:val="30"/>
          <w:szCs w:val="30"/>
          <w:lang w:eastAsia="zh-CN"/>
        </w:rPr>
        <w:t>陡坡地治理及石漠化治理项目支出</w:t>
      </w:r>
      <w:r>
        <w:rPr>
          <w:rFonts w:ascii="仿宋_GB2312" w:eastAsia="仿宋_GB2312" w:hAnsi="宋体" w:cs="Arial" w:hint="eastAsia"/>
          <w:kern w:val="0"/>
          <w:sz w:val="30"/>
          <w:szCs w:val="30"/>
        </w:rPr>
        <w:t>；</w:t>
      </w:r>
    </w:p>
    <w:p>
      <w:pPr>
        <w:widowControl/>
        <w:snapToGrid w:val="0"/>
        <w:spacing w:before="100" w:beforeLines="0" w:after="100" w:afterLines="0" w:line="360" w:lineRule="auto"/>
        <w:ind w:firstLine="600" w:firstLineChars="200"/>
        <w:jc w:val="left"/>
        <w:rPr>
          <w:rFonts w:ascii="仿宋_GB2312" w:eastAsia="仿宋_GB2312" w:hAnsi="宋体" w:cs="Arial" w:hint="eastAsia"/>
          <w:kern w:val="0"/>
          <w:sz w:val="30"/>
          <w:szCs w:val="30"/>
        </w:rPr>
      </w:pPr>
      <w:r>
        <w:rPr>
          <w:rFonts w:ascii="仿宋_GB2312" w:eastAsia="仿宋_GB2312" w:hAnsi="宋体" w:cs="Arial" w:hint="eastAsia"/>
          <w:kern w:val="0"/>
          <w:sz w:val="30"/>
          <w:szCs w:val="30"/>
        </w:rPr>
        <w:t>4.</w:t>
      </w:r>
      <w:r>
        <w:rPr>
          <w:rFonts w:ascii="仿宋_GB2312" w:eastAsia="仿宋_GB2312" w:hAnsi="宋体" w:cs="Arial" w:hint="eastAsia"/>
          <w:kern w:val="0"/>
          <w:sz w:val="30"/>
          <w:szCs w:val="30"/>
          <w:lang w:eastAsia="zh-CN"/>
        </w:rPr>
        <w:t>农林水</w:t>
      </w:r>
      <w:r>
        <w:rPr>
          <w:rFonts w:ascii="仿宋_GB2312" w:eastAsia="仿宋_GB2312" w:hAnsi="宋体" w:cs="Arial" w:hint="eastAsia"/>
          <w:kern w:val="0"/>
          <w:sz w:val="30"/>
          <w:szCs w:val="30"/>
        </w:rPr>
        <w:t>支出</w:t>
      </w:r>
      <w:r>
        <w:rPr>
          <w:rFonts w:ascii="仿宋_GB2312" w:eastAsia="仿宋_GB2312" w:hint="eastAsia"/>
          <w:sz w:val="30"/>
          <w:szCs w:val="30"/>
          <w:lang w:val="en-US" w:eastAsia="zh-CN"/>
        </w:rPr>
        <w:t>11665.48</w:t>
      </w:r>
      <w:r>
        <w:rPr>
          <w:rFonts w:ascii="仿宋_GB2312" w:eastAsia="仿宋_GB2312" w:hAnsi="宋体" w:cs="Arial" w:hint="eastAsia"/>
          <w:kern w:val="0"/>
          <w:sz w:val="30"/>
          <w:szCs w:val="30"/>
        </w:rPr>
        <w:t>万元，</w:t>
      </w:r>
      <w:r>
        <w:rPr>
          <w:rFonts w:ascii="仿宋_GB2312" w:eastAsia="仿宋_GB2312" w:hint="eastAsia"/>
          <w:sz w:val="30"/>
          <w:szCs w:val="30"/>
        </w:rPr>
        <w:t>占一般公共预算财政拨款总支出的</w:t>
      </w:r>
      <w:r>
        <w:rPr>
          <w:rFonts w:ascii="仿宋_GB2312" w:eastAsia="仿宋_GB2312" w:hint="eastAsia"/>
          <w:sz w:val="30"/>
          <w:szCs w:val="30"/>
          <w:lang w:val="en-US" w:eastAsia="zh-CN"/>
        </w:rPr>
        <w:t>87.63</w:t>
      </w:r>
      <w:r>
        <w:rPr>
          <w:rFonts w:ascii="仿宋_GB2312" w:eastAsia="仿宋_GB2312" w:hint="eastAsia"/>
          <w:sz w:val="30"/>
          <w:szCs w:val="30"/>
        </w:rPr>
        <w:t>%。</w:t>
      </w:r>
      <w:r>
        <w:rPr>
          <w:rFonts w:ascii="仿宋_GB2312" w:eastAsia="仿宋_GB2312" w:hAnsi="宋体" w:cs="Arial" w:hint="eastAsia"/>
          <w:kern w:val="0"/>
          <w:sz w:val="30"/>
          <w:szCs w:val="30"/>
        </w:rPr>
        <w:t>主要用于</w:t>
      </w:r>
      <w:r>
        <w:rPr>
          <w:rFonts w:ascii="仿宋_GB2312" w:eastAsia="仿宋_GB2312" w:hAnsi="宋体" w:cs="Arial" w:hint="eastAsia"/>
          <w:kern w:val="0"/>
          <w:sz w:val="30"/>
          <w:szCs w:val="30"/>
          <w:lang w:eastAsia="zh-CN"/>
        </w:rPr>
        <w:t>机关运行费用及林业产业项目支出</w:t>
      </w:r>
      <w:r>
        <w:rPr>
          <w:rFonts w:ascii="仿宋_GB2312" w:eastAsia="仿宋_GB2312" w:hAnsi="宋体" w:cs="Arial" w:hint="eastAsia"/>
          <w:kern w:val="0"/>
          <w:sz w:val="30"/>
          <w:szCs w:val="30"/>
        </w:rPr>
        <w:t>；</w:t>
      </w:r>
    </w:p>
    <w:p>
      <w:pPr>
        <w:widowControl/>
        <w:snapToGrid w:val="0"/>
        <w:spacing w:before="100" w:beforeLines="0" w:after="100" w:afterLines="0" w:line="360" w:lineRule="auto"/>
        <w:ind w:firstLine="600" w:firstLineChars="200"/>
        <w:jc w:val="left"/>
        <w:rPr>
          <w:rFonts w:ascii="仿宋_GB2312" w:eastAsia="仿宋_GB2312" w:hAnsi="宋体" w:cs="Arial" w:hint="eastAsia"/>
          <w:kern w:val="0"/>
          <w:sz w:val="30"/>
          <w:szCs w:val="30"/>
        </w:rPr>
      </w:pPr>
      <w:r>
        <w:rPr>
          <w:rFonts w:ascii="仿宋_GB2312" w:eastAsia="仿宋_GB2312" w:hAnsi="宋体" w:cs="Arial" w:hint="eastAsia"/>
          <w:kern w:val="0"/>
          <w:sz w:val="30"/>
          <w:szCs w:val="30"/>
          <w:lang w:val="en-US" w:eastAsia="zh-CN"/>
        </w:rPr>
        <w:t>5</w:t>
      </w:r>
      <w:r>
        <w:rPr>
          <w:rFonts w:ascii="仿宋_GB2312" w:eastAsia="仿宋_GB2312" w:hAnsi="宋体" w:cs="Arial" w:hint="eastAsia"/>
          <w:kern w:val="0"/>
          <w:sz w:val="30"/>
          <w:szCs w:val="30"/>
        </w:rPr>
        <w:t>.</w:t>
      </w:r>
      <w:r>
        <w:rPr>
          <w:rFonts w:ascii="仿宋_GB2312" w:eastAsia="仿宋_GB2312" w:hAnsi="宋体" w:cs="Arial" w:hint="eastAsia"/>
          <w:kern w:val="0"/>
          <w:sz w:val="30"/>
          <w:szCs w:val="30"/>
          <w:lang w:eastAsia="zh-CN"/>
        </w:rPr>
        <w:t>住房保障支出</w:t>
      </w:r>
      <w:r>
        <w:rPr>
          <w:rFonts w:ascii="仿宋_GB2312" w:eastAsia="仿宋_GB2312" w:hAnsi="宋体" w:cs="Arial" w:hint="eastAsia"/>
          <w:kern w:val="0"/>
          <w:sz w:val="30"/>
          <w:szCs w:val="30"/>
          <w:lang w:val="en-US" w:eastAsia="zh-CN"/>
        </w:rPr>
        <w:t>80.41万元，</w:t>
      </w:r>
      <w:r>
        <w:rPr>
          <w:rFonts w:ascii="仿宋_GB2312" w:eastAsia="仿宋_GB2312" w:hint="eastAsia"/>
          <w:sz w:val="30"/>
          <w:szCs w:val="30"/>
        </w:rPr>
        <w:t>占一般公共预算财政拨款总支出的</w:t>
      </w:r>
      <w:r>
        <w:rPr>
          <w:rFonts w:ascii="仿宋_GB2312" w:eastAsia="仿宋_GB2312" w:hint="eastAsia"/>
          <w:sz w:val="30"/>
          <w:szCs w:val="30"/>
          <w:lang w:val="en-US" w:eastAsia="zh-CN"/>
        </w:rPr>
        <w:t>0.6</w:t>
      </w:r>
      <w:r>
        <w:rPr>
          <w:rFonts w:ascii="仿宋_GB2312" w:eastAsia="仿宋_GB2312" w:hint="eastAsia"/>
          <w:sz w:val="30"/>
          <w:szCs w:val="30"/>
        </w:rPr>
        <w:t>%。</w:t>
      </w:r>
      <w:r>
        <w:rPr>
          <w:rFonts w:ascii="仿宋_GB2312" w:eastAsia="仿宋_GB2312" w:hAnsi="宋体" w:cs="Arial" w:hint="eastAsia"/>
          <w:kern w:val="0"/>
          <w:sz w:val="30"/>
          <w:szCs w:val="30"/>
        </w:rPr>
        <w:t>主要用于</w:t>
      </w:r>
      <w:r>
        <w:rPr>
          <w:rFonts w:ascii="仿宋_GB2312" w:eastAsia="仿宋_GB2312" w:hAnsi="宋体" w:cs="Arial" w:hint="eastAsia"/>
          <w:kern w:val="0"/>
          <w:sz w:val="30"/>
          <w:szCs w:val="30"/>
          <w:lang w:eastAsia="zh-CN"/>
        </w:rPr>
        <w:t>缴纳住房公积金</w:t>
      </w:r>
      <w:r>
        <w:rPr>
          <w:rFonts w:ascii="仿宋_GB2312" w:eastAsia="仿宋_GB2312" w:hAnsi="宋体" w:cs="Arial" w:hint="eastAsia"/>
          <w:kern w:val="0"/>
          <w:sz w:val="30"/>
          <w:szCs w:val="30"/>
        </w:rPr>
        <w:t>。</w:t>
      </w:r>
    </w:p>
    <w:p>
      <w:pPr>
        <w:widowControl/>
        <w:snapToGrid w:val="0"/>
        <w:spacing w:before="100" w:beforeLines="0" w:after="100" w:afterLines="0" w:line="360" w:lineRule="auto"/>
        <w:ind w:firstLine="600" w:firstLineChars="200"/>
        <w:jc w:val="left"/>
        <w:rPr>
          <w:rFonts w:ascii="黑体" w:eastAsia="黑体" w:hAnsi="黑体" w:hint="eastAsia"/>
          <w:sz w:val="30"/>
          <w:szCs w:val="30"/>
        </w:rPr>
      </w:pPr>
      <w:r>
        <w:rPr>
          <w:rFonts w:ascii="黑体" w:eastAsia="黑体" w:hAnsi="黑体" w:hint="eastAsia"/>
          <w:sz w:val="30"/>
          <w:szCs w:val="30"/>
        </w:rPr>
        <w:t>四、一般公共预算财政拨款</w:t>
      </w:r>
      <w:r>
        <w:rPr>
          <w:rFonts w:ascii="黑体" w:eastAsia="黑体" w:hAnsi="黑体" w:hint="eastAsia"/>
          <w:sz w:val="30"/>
          <w:szCs w:val="30"/>
        </w:rPr>
        <w:t>“</w:t>
      </w:r>
      <w:r>
        <w:rPr>
          <w:rFonts w:ascii="黑体" w:eastAsia="黑体" w:hAnsi="黑体" w:hint="eastAsia"/>
          <w:sz w:val="30"/>
          <w:szCs w:val="30"/>
        </w:rPr>
        <w:t>三公</w:t>
      </w:r>
      <w:r>
        <w:rPr>
          <w:rFonts w:ascii="黑体" w:eastAsia="黑体" w:hAnsi="黑体" w:hint="eastAsia"/>
          <w:sz w:val="30"/>
          <w:szCs w:val="30"/>
        </w:rPr>
        <w:t>”</w:t>
      </w:r>
      <w:r>
        <w:rPr>
          <w:rFonts w:ascii="黑体" w:eastAsia="黑体" w:hAnsi="黑体" w:hint="eastAsia"/>
          <w:sz w:val="30"/>
          <w:szCs w:val="30"/>
        </w:rPr>
        <w:t>经费支出决算情况说明</w:t>
      </w:r>
    </w:p>
    <w:p>
      <w:pPr>
        <w:widowControl/>
        <w:snapToGrid w:val="0"/>
        <w:spacing w:before="100" w:beforeLines="0" w:after="100" w:afterLines="0" w:line="360" w:lineRule="auto"/>
        <w:ind w:firstLine="600" w:firstLineChars="200"/>
        <w:jc w:val="left"/>
        <w:rPr>
          <w:rFonts w:ascii="楷体" w:eastAsia="楷体" w:hAnsi="楷体" w:hint="eastAsia"/>
          <w:sz w:val="30"/>
          <w:szCs w:val="30"/>
        </w:rPr>
      </w:pPr>
      <w:r>
        <w:rPr>
          <w:rFonts w:ascii="楷体" w:eastAsia="楷体" w:hAnsi="楷体" w:hint="eastAsia"/>
          <w:sz w:val="30"/>
          <w:szCs w:val="30"/>
        </w:rPr>
        <w:t>(一)</w:t>
      </w:r>
      <w:r>
        <w:rPr>
          <w:rFonts w:ascii="黑体" w:eastAsia="黑体" w:hAnsi="黑体" w:hint="eastAsia"/>
          <w:sz w:val="30"/>
          <w:szCs w:val="30"/>
        </w:rPr>
        <w:t xml:space="preserve"> </w:t>
      </w:r>
      <w:r>
        <w:rPr>
          <w:rFonts w:ascii="楷体" w:eastAsia="楷体" w:hAnsi="楷体" w:hint="eastAsia"/>
          <w:sz w:val="30"/>
          <w:szCs w:val="30"/>
        </w:rPr>
        <w:t>一般公共预算财政拨款</w:t>
      </w:r>
      <w:r>
        <w:rPr>
          <w:rFonts w:ascii="楷体" w:eastAsia="楷体" w:hAnsi="楷体" w:hint="eastAsia"/>
          <w:sz w:val="30"/>
          <w:szCs w:val="30"/>
        </w:rPr>
        <w:t>“</w:t>
      </w:r>
      <w:r>
        <w:rPr>
          <w:rFonts w:ascii="楷体" w:eastAsia="楷体" w:hAnsi="楷体" w:hint="eastAsia"/>
          <w:sz w:val="30"/>
          <w:szCs w:val="30"/>
        </w:rPr>
        <w:t>三公</w:t>
      </w:r>
      <w:r>
        <w:rPr>
          <w:rFonts w:ascii="楷体" w:eastAsia="楷体" w:hAnsi="楷体" w:hint="eastAsia"/>
          <w:sz w:val="30"/>
          <w:szCs w:val="30"/>
        </w:rPr>
        <w:t>”</w:t>
      </w:r>
      <w:r>
        <w:rPr>
          <w:rFonts w:ascii="楷体" w:eastAsia="楷体" w:hAnsi="楷体" w:hint="eastAsia"/>
          <w:sz w:val="30"/>
          <w:szCs w:val="30"/>
        </w:rPr>
        <w:t>经费支出决算总体情况</w:t>
      </w:r>
    </w:p>
    <w:p>
      <w:pPr>
        <w:snapToGrid w:val="0"/>
        <w:spacing w:line="520" w:lineRule="exact"/>
        <w:ind w:firstLine="600" w:firstLineChars="200"/>
        <w:rPr>
          <w:rFonts w:ascii="仿宋_GB2312" w:eastAsia="仿宋_GB2312" w:hint="eastAsia"/>
          <w:sz w:val="30"/>
          <w:szCs w:val="30"/>
        </w:rPr>
      </w:pPr>
      <w:r>
        <w:rPr>
          <w:rFonts w:ascii="仿宋_GB2312" w:eastAsia="仿宋_GB2312" w:hint="eastAsia"/>
          <w:sz w:val="30"/>
          <w:szCs w:val="30"/>
          <w:lang w:eastAsia="zh-CN"/>
        </w:rPr>
        <w:t>维西县林业局</w:t>
      </w:r>
      <w:r>
        <w:rPr>
          <w:rFonts w:ascii="仿宋_GB2312" w:eastAsia="仿宋_GB2312" w:hint="eastAsia"/>
          <w:sz w:val="30"/>
          <w:szCs w:val="30"/>
          <w:lang w:val="en-US" w:eastAsia="zh-CN"/>
        </w:rPr>
        <w:t>2018</w:t>
      </w:r>
      <w:r>
        <w:rPr>
          <w:rFonts w:ascii="仿宋_GB2312" w:eastAsia="仿宋_GB2312" w:hint="eastAsia"/>
          <w:sz w:val="30"/>
          <w:szCs w:val="30"/>
        </w:rPr>
        <w:t>年度一般公共预算财政拨款</w:t>
      </w:r>
      <w:r>
        <w:rPr>
          <w:rFonts w:ascii="仿宋_GB2312" w:eastAsia="仿宋_GB2312" w:hint="eastAsia"/>
          <w:sz w:val="30"/>
          <w:szCs w:val="30"/>
        </w:rPr>
        <w:t>“</w:t>
      </w:r>
      <w:r>
        <w:rPr>
          <w:rFonts w:ascii="仿宋_GB2312" w:eastAsia="仿宋_GB2312" w:hint="eastAsia"/>
          <w:sz w:val="30"/>
          <w:szCs w:val="30"/>
        </w:rPr>
        <w:t>三公</w:t>
      </w:r>
      <w:r>
        <w:rPr>
          <w:rFonts w:ascii="仿宋_GB2312" w:eastAsia="仿宋_GB2312" w:hint="eastAsia"/>
          <w:sz w:val="30"/>
          <w:szCs w:val="30"/>
        </w:rPr>
        <w:t>”</w:t>
      </w:r>
      <w:r>
        <w:rPr>
          <w:rFonts w:ascii="仿宋_GB2312" w:eastAsia="仿宋_GB2312" w:hint="eastAsia"/>
          <w:sz w:val="30"/>
          <w:szCs w:val="30"/>
        </w:rPr>
        <w:t>经费支出预算为</w:t>
      </w:r>
      <w:r>
        <w:rPr>
          <w:rFonts w:ascii="仿宋_GB2312" w:eastAsia="仿宋_GB2312" w:hint="eastAsia"/>
          <w:sz w:val="30"/>
          <w:szCs w:val="30"/>
          <w:lang w:val="en-US" w:eastAsia="zh-CN"/>
        </w:rPr>
        <w:t>13.47</w:t>
      </w:r>
      <w:r>
        <w:rPr>
          <w:rFonts w:ascii="仿宋_GB2312" w:eastAsia="仿宋_GB2312" w:hint="eastAsia"/>
          <w:sz w:val="30"/>
          <w:szCs w:val="30"/>
        </w:rPr>
        <w:t>万元，支出决算为</w:t>
      </w:r>
      <w:r>
        <w:rPr>
          <w:rFonts w:ascii="仿宋_GB2312" w:eastAsia="仿宋_GB2312" w:hint="eastAsia"/>
          <w:sz w:val="30"/>
          <w:szCs w:val="30"/>
          <w:lang w:val="en-US" w:eastAsia="zh-CN"/>
        </w:rPr>
        <w:t>3.14</w:t>
      </w:r>
      <w:r>
        <w:rPr>
          <w:rFonts w:ascii="仿宋_GB2312" w:eastAsia="仿宋_GB2312" w:hint="eastAsia"/>
          <w:sz w:val="30"/>
          <w:szCs w:val="30"/>
        </w:rPr>
        <w:t>万元，完成预算的</w:t>
      </w:r>
      <w:r>
        <w:rPr>
          <w:rFonts w:ascii="仿宋_GB2312" w:eastAsia="仿宋_GB2312" w:hint="eastAsia"/>
          <w:sz w:val="30"/>
          <w:szCs w:val="30"/>
          <w:lang w:val="en-US" w:eastAsia="zh-CN"/>
        </w:rPr>
        <w:t>23.31</w:t>
      </w:r>
      <w:r>
        <w:rPr>
          <w:rFonts w:ascii="仿宋_GB2312" w:eastAsia="仿宋_GB2312" w:hint="eastAsia"/>
          <w:sz w:val="30"/>
          <w:szCs w:val="30"/>
        </w:rPr>
        <w:t>%。其中：因公出国（境）费支出决算为</w:t>
      </w:r>
      <w:r>
        <w:rPr>
          <w:rFonts w:ascii="仿宋_GB2312" w:eastAsia="仿宋_GB2312" w:hint="eastAsia"/>
          <w:sz w:val="30"/>
          <w:szCs w:val="30"/>
          <w:lang w:val="en-US" w:eastAsia="zh-CN"/>
        </w:rPr>
        <w:t>0</w:t>
      </w:r>
      <w:r>
        <w:rPr>
          <w:rFonts w:ascii="仿宋_GB2312" w:eastAsia="仿宋_GB2312" w:hint="eastAsia"/>
          <w:sz w:val="30"/>
          <w:szCs w:val="30"/>
        </w:rPr>
        <w:t>万元，完成预算的</w:t>
      </w:r>
      <w:r>
        <w:rPr>
          <w:rFonts w:ascii="仿宋_GB2312" w:eastAsia="仿宋_GB2312" w:hint="eastAsia"/>
          <w:sz w:val="30"/>
          <w:szCs w:val="30"/>
          <w:lang w:val="en-US" w:eastAsia="zh-CN"/>
        </w:rPr>
        <w:t>0</w:t>
      </w:r>
      <w:r>
        <w:rPr>
          <w:rFonts w:ascii="仿宋_GB2312" w:eastAsia="仿宋_GB2312" w:hint="eastAsia"/>
          <w:sz w:val="30"/>
          <w:szCs w:val="30"/>
        </w:rPr>
        <w:t>%；公务用车购置及运行费支出决算为</w:t>
      </w:r>
      <w:r>
        <w:rPr>
          <w:rFonts w:ascii="仿宋_GB2312" w:eastAsia="仿宋_GB2312" w:hint="eastAsia"/>
          <w:sz w:val="30"/>
          <w:szCs w:val="30"/>
          <w:lang w:val="en-US" w:eastAsia="zh-CN"/>
        </w:rPr>
        <w:t>1.28</w:t>
      </w:r>
      <w:r>
        <w:rPr>
          <w:rFonts w:ascii="仿宋_GB2312" w:eastAsia="仿宋_GB2312" w:hint="eastAsia"/>
          <w:sz w:val="30"/>
          <w:szCs w:val="30"/>
        </w:rPr>
        <w:t>万元，完成预算的</w:t>
      </w:r>
      <w:r>
        <w:rPr>
          <w:rFonts w:ascii="仿宋_GB2312" w:eastAsia="仿宋_GB2312" w:hint="eastAsia"/>
          <w:sz w:val="30"/>
          <w:szCs w:val="30"/>
          <w:lang w:val="en-US" w:eastAsia="zh-CN"/>
        </w:rPr>
        <w:t>9.5</w:t>
      </w:r>
      <w:r>
        <w:rPr>
          <w:rFonts w:ascii="仿宋_GB2312" w:eastAsia="仿宋_GB2312" w:hint="eastAsia"/>
          <w:sz w:val="30"/>
          <w:szCs w:val="30"/>
        </w:rPr>
        <w:t>%；公务接待费支出决算为</w:t>
      </w:r>
      <w:r>
        <w:rPr>
          <w:rFonts w:ascii="仿宋_GB2312" w:eastAsia="仿宋_GB2312" w:hint="eastAsia"/>
          <w:sz w:val="30"/>
          <w:szCs w:val="30"/>
          <w:lang w:val="en-US" w:eastAsia="zh-CN"/>
        </w:rPr>
        <w:t>1.86</w:t>
      </w:r>
      <w:r>
        <w:rPr>
          <w:rFonts w:ascii="仿宋_GB2312" w:eastAsia="仿宋_GB2312" w:hint="eastAsia"/>
          <w:sz w:val="30"/>
          <w:szCs w:val="30"/>
        </w:rPr>
        <w:t>万元，完成预算的</w:t>
      </w:r>
      <w:r>
        <w:rPr>
          <w:rFonts w:ascii="仿宋_GB2312" w:eastAsia="仿宋_GB2312" w:hint="eastAsia"/>
          <w:sz w:val="30"/>
          <w:szCs w:val="30"/>
          <w:lang w:val="en-US" w:eastAsia="zh-CN"/>
        </w:rPr>
        <w:t>13.81</w:t>
      </w:r>
      <w:r>
        <w:rPr>
          <w:rFonts w:ascii="仿宋_GB2312" w:eastAsia="仿宋_GB2312" w:hint="eastAsia"/>
          <w:sz w:val="30"/>
          <w:szCs w:val="30"/>
        </w:rPr>
        <w:t>%。</w:t>
      </w:r>
      <w:r>
        <w:rPr>
          <w:rFonts w:ascii="仿宋_GB2312" w:eastAsia="仿宋_GB2312" w:hint="eastAsia"/>
          <w:sz w:val="30"/>
          <w:szCs w:val="30"/>
          <w:lang w:val="en-US" w:eastAsia="zh-CN"/>
        </w:rPr>
        <w:t>2018</w:t>
      </w:r>
      <w:r>
        <w:rPr>
          <w:rFonts w:ascii="仿宋_GB2312" w:eastAsia="仿宋_GB2312" w:hint="eastAsia"/>
          <w:sz w:val="30"/>
          <w:szCs w:val="30"/>
        </w:rPr>
        <w:t>年度一般公共预算财政拨款</w:t>
      </w:r>
      <w:r>
        <w:rPr>
          <w:rFonts w:ascii="仿宋_GB2312" w:eastAsia="仿宋_GB2312" w:hint="eastAsia"/>
          <w:sz w:val="30"/>
          <w:szCs w:val="30"/>
        </w:rPr>
        <w:t>“</w:t>
      </w:r>
      <w:r>
        <w:rPr>
          <w:rFonts w:ascii="仿宋_GB2312" w:eastAsia="仿宋_GB2312" w:hint="eastAsia"/>
          <w:sz w:val="30"/>
          <w:szCs w:val="30"/>
        </w:rPr>
        <w:t>三公</w:t>
      </w:r>
      <w:r>
        <w:rPr>
          <w:rFonts w:ascii="仿宋_GB2312" w:eastAsia="仿宋_GB2312" w:hint="eastAsia"/>
          <w:sz w:val="30"/>
          <w:szCs w:val="30"/>
        </w:rPr>
        <w:t>”</w:t>
      </w:r>
      <w:r>
        <w:rPr>
          <w:rFonts w:ascii="仿宋_GB2312" w:eastAsia="仿宋_GB2312" w:hint="eastAsia"/>
          <w:sz w:val="30"/>
          <w:szCs w:val="30"/>
        </w:rPr>
        <w:t>经费支出决算数小于预算数</w:t>
      </w:r>
      <w:r>
        <w:rPr>
          <w:rFonts w:ascii="仿宋_GB2312" w:eastAsia="仿宋_GB2312" w:hint="eastAsia"/>
          <w:sz w:val="30"/>
          <w:szCs w:val="30"/>
          <w:lang w:eastAsia="zh-CN"/>
        </w:rPr>
        <w:t>（</w:t>
      </w:r>
      <w:r>
        <w:rPr>
          <w:rFonts w:ascii="仿宋_GB2312" w:eastAsia="仿宋_GB2312" w:hAnsi="宋体" w:hint="eastAsia"/>
          <w:sz w:val="30"/>
          <w:szCs w:val="30"/>
        </w:rPr>
        <w:t>相差103256.11元</w:t>
      </w:r>
      <w:r>
        <w:rPr>
          <w:rFonts w:ascii="仿宋_GB2312" w:eastAsia="仿宋_GB2312" w:hint="eastAsia"/>
          <w:sz w:val="30"/>
          <w:szCs w:val="30"/>
          <w:lang w:eastAsia="zh-CN"/>
        </w:rPr>
        <w:t>）</w:t>
      </w:r>
      <w:r>
        <w:rPr>
          <w:rFonts w:ascii="仿宋_GB2312" w:eastAsia="仿宋_GB2312" w:hAnsi="宋体" w:hint="eastAsia"/>
          <w:sz w:val="30"/>
          <w:szCs w:val="30"/>
        </w:rPr>
        <w:t>，差异原因为年初将办公费等公用经费分摊到</w:t>
      </w:r>
      <w:r>
        <w:rPr>
          <w:rFonts w:ascii="仿宋_GB2312" w:eastAsia="仿宋_GB2312" w:hAnsi="宋体" w:hint="eastAsia"/>
          <w:sz w:val="30"/>
          <w:szCs w:val="30"/>
        </w:rPr>
        <w:t>“</w:t>
      </w:r>
      <w:r>
        <w:rPr>
          <w:rFonts w:ascii="仿宋_GB2312" w:eastAsia="仿宋_GB2312" w:hAnsi="宋体" w:hint="eastAsia"/>
          <w:sz w:val="30"/>
          <w:szCs w:val="30"/>
        </w:rPr>
        <w:t>三公经费</w:t>
      </w:r>
      <w:r>
        <w:rPr>
          <w:rFonts w:ascii="仿宋_GB2312" w:eastAsia="仿宋_GB2312" w:hAnsi="宋体" w:hint="eastAsia"/>
          <w:sz w:val="30"/>
          <w:szCs w:val="30"/>
        </w:rPr>
        <w:t>”</w:t>
      </w:r>
      <w:r>
        <w:rPr>
          <w:rFonts w:ascii="仿宋_GB2312" w:eastAsia="仿宋_GB2312" w:hAnsi="宋体" w:hint="eastAsia"/>
          <w:sz w:val="30"/>
          <w:szCs w:val="30"/>
        </w:rPr>
        <w:t>指标中，致使预决算差异率过大</w:t>
      </w:r>
      <w:r>
        <w:rPr>
          <w:rFonts w:ascii="仿宋_GB2312" w:eastAsia="仿宋_GB2312" w:hAnsi="宋体" w:hint="eastAsia"/>
          <w:sz w:val="30"/>
          <w:szCs w:val="30"/>
          <w:lang w:eastAsia="zh-CN"/>
        </w:rPr>
        <w:t>。</w:t>
      </w:r>
    </w:p>
    <w:p>
      <w:pPr>
        <w:widowControl/>
        <w:snapToGrid w:val="0"/>
        <w:spacing w:before="100" w:beforeLines="0" w:after="100" w:afterLines="0" w:line="360" w:lineRule="auto"/>
        <w:ind w:firstLine="600" w:firstLineChars="200"/>
        <w:jc w:val="left"/>
        <w:rPr>
          <w:rFonts w:ascii="仿宋_GB2312" w:eastAsia="仿宋_GB2312" w:hint="eastAsia"/>
          <w:sz w:val="30"/>
          <w:szCs w:val="30"/>
        </w:rPr>
      </w:pPr>
      <w:r>
        <w:rPr>
          <w:rFonts w:ascii="仿宋_GB2312" w:eastAsia="仿宋_GB2312" w:hint="eastAsia"/>
          <w:sz w:val="30"/>
          <w:szCs w:val="30"/>
          <w:lang w:val="en-US" w:eastAsia="zh-CN"/>
        </w:rPr>
        <w:t>2018</w:t>
      </w:r>
      <w:r>
        <w:rPr>
          <w:rFonts w:ascii="仿宋_GB2312" w:eastAsia="仿宋_GB2312" w:hint="eastAsia"/>
          <w:sz w:val="30"/>
          <w:szCs w:val="30"/>
        </w:rPr>
        <w:t>年度一般公共预算财政拨款</w:t>
      </w:r>
      <w:r>
        <w:rPr>
          <w:rFonts w:ascii="仿宋_GB2312" w:eastAsia="仿宋_GB2312" w:hint="eastAsia"/>
          <w:sz w:val="30"/>
          <w:szCs w:val="30"/>
        </w:rPr>
        <w:t>“</w:t>
      </w:r>
      <w:r>
        <w:rPr>
          <w:rFonts w:ascii="仿宋_GB2312" w:eastAsia="仿宋_GB2312" w:hint="eastAsia"/>
          <w:sz w:val="30"/>
          <w:szCs w:val="30"/>
        </w:rPr>
        <w:t>三公</w:t>
      </w:r>
      <w:r>
        <w:rPr>
          <w:rFonts w:ascii="仿宋_GB2312" w:eastAsia="仿宋_GB2312" w:hint="eastAsia"/>
          <w:sz w:val="30"/>
          <w:szCs w:val="30"/>
        </w:rPr>
        <w:t>”</w:t>
      </w:r>
      <w:r>
        <w:rPr>
          <w:rFonts w:ascii="仿宋_GB2312" w:eastAsia="仿宋_GB2312" w:hint="eastAsia"/>
          <w:sz w:val="30"/>
          <w:szCs w:val="30"/>
        </w:rPr>
        <w:t>经费支出决算数比</w:t>
      </w:r>
      <w:r>
        <w:rPr>
          <w:rFonts w:ascii="仿宋_GB2312" w:eastAsia="仿宋_GB2312" w:hint="eastAsia"/>
          <w:sz w:val="30"/>
          <w:szCs w:val="30"/>
          <w:lang w:val="en-US" w:eastAsia="zh-CN"/>
        </w:rPr>
        <w:t>2017</w:t>
      </w:r>
      <w:r>
        <w:rPr>
          <w:rFonts w:ascii="仿宋_GB2312" w:eastAsia="仿宋_GB2312" w:hint="eastAsia"/>
          <w:sz w:val="30"/>
          <w:szCs w:val="30"/>
        </w:rPr>
        <w:t>减少</w:t>
      </w:r>
      <w:r>
        <w:rPr>
          <w:rFonts w:ascii="仿宋_GB2312" w:eastAsia="仿宋_GB2312" w:hint="eastAsia"/>
          <w:sz w:val="30"/>
          <w:szCs w:val="30"/>
          <w:lang w:val="en-US" w:eastAsia="zh-CN"/>
        </w:rPr>
        <w:t>0.17</w:t>
      </w:r>
      <w:r>
        <w:rPr>
          <w:rFonts w:ascii="仿宋_GB2312" w:eastAsia="仿宋_GB2312" w:hint="eastAsia"/>
          <w:sz w:val="30"/>
          <w:szCs w:val="30"/>
        </w:rPr>
        <w:t>万元，下降</w:t>
      </w:r>
      <w:r>
        <w:rPr>
          <w:rFonts w:ascii="仿宋_GB2312" w:eastAsia="仿宋_GB2312" w:hint="eastAsia"/>
          <w:sz w:val="30"/>
          <w:szCs w:val="30"/>
          <w:lang w:val="en-US" w:eastAsia="zh-CN"/>
        </w:rPr>
        <w:t>5.27</w:t>
      </w:r>
      <w:r>
        <w:rPr>
          <w:rFonts w:ascii="仿宋_GB2312" w:eastAsia="仿宋_GB2312" w:hint="eastAsia"/>
          <w:sz w:val="30"/>
          <w:szCs w:val="30"/>
        </w:rPr>
        <w:t>%。其中：因公出国（境）费支出决算增加/减少</w:t>
      </w:r>
      <w:r>
        <w:rPr>
          <w:rFonts w:ascii="仿宋_GB2312" w:eastAsia="仿宋_GB2312" w:hint="eastAsia"/>
          <w:sz w:val="30"/>
          <w:szCs w:val="30"/>
          <w:lang w:val="en-US" w:eastAsia="zh-CN"/>
        </w:rPr>
        <w:t>0</w:t>
      </w:r>
      <w:r>
        <w:rPr>
          <w:rFonts w:ascii="仿宋_GB2312" w:eastAsia="仿宋_GB2312" w:hint="eastAsia"/>
          <w:sz w:val="30"/>
          <w:szCs w:val="30"/>
        </w:rPr>
        <w:t>万元，增长/下降</w:t>
      </w:r>
      <w:r>
        <w:rPr>
          <w:rFonts w:ascii="仿宋_GB2312" w:eastAsia="仿宋_GB2312" w:hint="eastAsia"/>
          <w:sz w:val="30"/>
          <w:szCs w:val="30"/>
          <w:lang w:val="en-US" w:eastAsia="zh-CN"/>
        </w:rPr>
        <w:t>0</w:t>
      </w:r>
      <w:r>
        <w:rPr>
          <w:rFonts w:ascii="仿宋_GB2312" w:eastAsia="仿宋_GB2312" w:hint="eastAsia"/>
          <w:sz w:val="30"/>
          <w:szCs w:val="30"/>
        </w:rPr>
        <w:t>%；公务用车购置及运行费支出决算减少</w:t>
      </w:r>
      <w:r>
        <w:rPr>
          <w:rFonts w:ascii="仿宋_GB2312" w:eastAsia="仿宋_GB2312" w:hint="eastAsia"/>
          <w:sz w:val="30"/>
          <w:szCs w:val="30"/>
          <w:lang w:val="en-US" w:eastAsia="zh-CN"/>
        </w:rPr>
        <w:t>0.07</w:t>
      </w:r>
      <w:r>
        <w:rPr>
          <w:rFonts w:ascii="仿宋_GB2312" w:eastAsia="仿宋_GB2312" w:hint="eastAsia"/>
          <w:sz w:val="30"/>
          <w:szCs w:val="30"/>
        </w:rPr>
        <w:t>万元，下降</w:t>
      </w:r>
      <w:r>
        <w:rPr>
          <w:rFonts w:ascii="仿宋_GB2312" w:eastAsia="仿宋_GB2312" w:hint="eastAsia"/>
          <w:sz w:val="30"/>
          <w:szCs w:val="30"/>
          <w:lang w:val="en-US" w:eastAsia="zh-CN"/>
        </w:rPr>
        <w:t>5.39</w:t>
      </w:r>
      <w:r>
        <w:rPr>
          <w:rFonts w:ascii="仿宋_GB2312" w:eastAsia="仿宋_GB2312" w:hint="eastAsia"/>
          <w:sz w:val="30"/>
          <w:szCs w:val="30"/>
        </w:rPr>
        <w:t>%；公务接待费支出决算减少</w:t>
      </w:r>
      <w:r>
        <w:rPr>
          <w:rFonts w:ascii="仿宋_GB2312" w:eastAsia="仿宋_GB2312" w:hint="eastAsia"/>
          <w:sz w:val="30"/>
          <w:szCs w:val="30"/>
          <w:lang w:val="en-US" w:eastAsia="zh-CN"/>
        </w:rPr>
        <w:t>0.1</w:t>
      </w:r>
      <w:r>
        <w:rPr>
          <w:rFonts w:ascii="仿宋_GB2312" w:eastAsia="仿宋_GB2312" w:hint="eastAsia"/>
          <w:sz w:val="30"/>
          <w:szCs w:val="30"/>
        </w:rPr>
        <w:t>万元，下降</w:t>
      </w:r>
      <w:r>
        <w:rPr>
          <w:rFonts w:ascii="仿宋_GB2312" w:eastAsia="仿宋_GB2312" w:hint="eastAsia"/>
          <w:sz w:val="30"/>
          <w:szCs w:val="30"/>
          <w:lang w:val="en-US" w:eastAsia="zh-CN"/>
        </w:rPr>
        <w:t>5.19</w:t>
      </w:r>
      <w:r>
        <w:rPr>
          <w:rFonts w:ascii="仿宋_GB2312" w:eastAsia="仿宋_GB2312" w:hint="eastAsia"/>
          <w:sz w:val="30"/>
          <w:szCs w:val="30"/>
        </w:rPr>
        <w:t>%。</w:t>
      </w:r>
      <w:r>
        <w:rPr>
          <w:rFonts w:ascii="仿宋_GB2312" w:eastAsia="仿宋_GB2312" w:hint="eastAsia"/>
          <w:sz w:val="30"/>
          <w:szCs w:val="30"/>
          <w:lang w:val="en-US" w:eastAsia="zh-CN"/>
        </w:rPr>
        <w:t>2018</w:t>
      </w:r>
      <w:r>
        <w:rPr>
          <w:rFonts w:ascii="仿宋_GB2312" w:eastAsia="仿宋_GB2312" w:hint="eastAsia"/>
          <w:sz w:val="30"/>
          <w:szCs w:val="30"/>
        </w:rPr>
        <w:t>年度一般公共预算财政拨款</w:t>
      </w:r>
      <w:r>
        <w:rPr>
          <w:rFonts w:ascii="仿宋_GB2312" w:eastAsia="仿宋_GB2312" w:hint="eastAsia"/>
          <w:sz w:val="30"/>
          <w:szCs w:val="30"/>
        </w:rPr>
        <w:t>“</w:t>
      </w:r>
      <w:r>
        <w:rPr>
          <w:rFonts w:ascii="仿宋_GB2312" w:eastAsia="仿宋_GB2312" w:hint="eastAsia"/>
          <w:sz w:val="30"/>
          <w:szCs w:val="30"/>
        </w:rPr>
        <w:t>三公</w:t>
      </w:r>
      <w:r>
        <w:rPr>
          <w:rFonts w:ascii="仿宋_GB2312" w:eastAsia="仿宋_GB2312" w:hint="eastAsia"/>
          <w:sz w:val="30"/>
          <w:szCs w:val="30"/>
        </w:rPr>
        <w:t>”</w:t>
      </w:r>
      <w:r>
        <w:rPr>
          <w:rFonts w:ascii="仿宋_GB2312" w:eastAsia="仿宋_GB2312" w:hint="eastAsia"/>
          <w:sz w:val="30"/>
          <w:szCs w:val="30"/>
        </w:rPr>
        <w:t>经费支出决算减少的主要原因本单位厉行节约。</w:t>
      </w:r>
    </w:p>
    <w:p>
      <w:pPr>
        <w:widowControl/>
        <w:snapToGrid w:val="0"/>
        <w:spacing w:before="100" w:beforeLines="0" w:after="100" w:afterLines="0" w:line="360" w:lineRule="auto"/>
        <w:ind w:firstLine="600" w:firstLineChars="200"/>
        <w:jc w:val="left"/>
        <w:rPr>
          <w:rFonts w:ascii="楷体" w:eastAsia="楷体" w:hAnsi="楷体" w:hint="eastAsia"/>
          <w:sz w:val="30"/>
          <w:szCs w:val="30"/>
        </w:rPr>
      </w:pPr>
      <w:r>
        <w:rPr>
          <w:rFonts w:ascii="楷体" w:eastAsia="楷体" w:hAnsi="楷体" w:hint="eastAsia"/>
          <w:sz w:val="30"/>
          <w:szCs w:val="30"/>
        </w:rPr>
        <w:t>(二)</w:t>
      </w:r>
      <w:r>
        <w:rPr>
          <w:rFonts w:ascii="仿宋_GB2312" w:eastAsia="仿宋_GB2312" w:hint="eastAsia"/>
          <w:sz w:val="30"/>
          <w:szCs w:val="30"/>
        </w:rPr>
        <w:t xml:space="preserve"> </w:t>
      </w:r>
      <w:r>
        <w:rPr>
          <w:rFonts w:ascii="楷体" w:eastAsia="楷体" w:hAnsi="楷体" w:hint="eastAsia"/>
          <w:sz w:val="30"/>
          <w:szCs w:val="30"/>
        </w:rPr>
        <w:t>一般公共预算财政拨款</w:t>
      </w:r>
      <w:r>
        <w:rPr>
          <w:rFonts w:ascii="楷体" w:eastAsia="楷体" w:hAnsi="楷体" w:hint="eastAsia"/>
          <w:sz w:val="30"/>
          <w:szCs w:val="30"/>
        </w:rPr>
        <w:t>“</w:t>
      </w:r>
      <w:r>
        <w:rPr>
          <w:rFonts w:ascii="楷体" w:eastAsia="楷体" w:hAnsi="楷体" w:hint="eastAsia"/>
          <w:sz w:val="30"/>
          <w:szCs w:val="30"/>
        </w:rPr>
        <w:t>三公</w:t>
      </w:r>
      <w:r>
        <w:rPr>
          <w:rFonts w:ascii="楷体" w:eastAsia="楷体" w:hAnsi="楷体" w:hint="eastAsia"/>
          <w:sz w:val="30"/>
          <w:szCs w:val="30"/>
        </w:rPr>
        <w:t>”</w:t>
      </w:r>
      <w:r>
        <w:rPr>
          <w:rFonts w:ascii="楷体" w:eastAsia="楷体" w:hAnsi="楷体" w:hint="eastAsia"/>
          <w:sz w:val="30"/>
          <w:szCs w:val="30"/>
        </w:rPr>
        <w:t>经费支出决算具体情况</w:t>
      </w:r>
    </w:p>
    <w:p>
      <w:pPr>
        <w:widowControl/>
        <w:snapToGrid w:val="0"/>
        <w:spacing w:before="100" w:beforeLines="0" w:after="100" w:afterLines="0" w:line="360" w:lineRule="auto"/>
        <w:ind w:firstLine="600" w:firstLineChars="200"/>
        <w:jc w:val="left"/>
        <w:rPr>
          <w:rFonts w:ascii="仿宋_GB2312" w:eastAsia="仿宋_GB2312" w:hint="eastAsia"/>
          <w:sz w:val="30"/>
          <w:szCs w:val="30"/>
        </w:rPr>
      </w:pPr>
      <w:r>
        <w:rPr>
          <w:rFonts w:ascii="仿宋_GB2312" w:eastAsia="仿宋_GB2312" w:hint="eastAsia"/>
          <w:sz w:val="30"/>
          <w:szCs w:val="30"/>
          <w:lang w:val="en-US" w:eastAsia="zh-CN"/>
        </w:rPr>
        <w:t>2018</w:t>
      </w:r>
      <w:r>
        <w:rPr>
          <w:rFonts w:ascii="仿宋_GB2312" w:eastAsia="仿宋_GB2312" w:hint="eastAsia"/>
          <w:sz w:val="30"/>
          <w:szCs w:val="30"/>
        </w:rPr>
        <w:t>年度一般公共预算财政拨款</w:t>
      </w:r>
      <w:r>
        <w:rPr>
          <w:rFonts w:ascii="仿宋_GB2312" w:eastAsia="仿宋_GB2312" w:hint="eastAsia"/>
          <w:sz w:val="30"/>
          <w:szCs w:val="30"/>
        </w:rPr>
        <w:t>“</w:t>
      </w:r>
      <w:r>
        <w:rPr>
          <w:rFonts w:ascii="仿宋_GB2312" w:eastAsia="仿宋_GB2312" w:hint="eastAsia"/>
          <w:sz w:val="30"/>
          <w:szCs w:val="30"/>
        </w:rPr>
        <w:t>三公</w:t>
      </w:r>
      <w:r>
        <w:rPr>
          <w:rFonts w:ascii="仿宋_GB2312" w:eastAsia="仿宋_GB2312" w:hint="eastAsia"/>
          <w:sz w:val="30"/>
          <w:szCs w:val="30"/>
        </w:rPr>
        <w:t>”</w:t>
      </w:r>
      <w:r>
        <w:rPr>
          <w:rFonts w:ascii="仿宋_GB2312" w:eastAsia="仿宋_GB2312" w:hint="eastAsia"/>
          <w:sz w:val="30"/>
          <w:szCs w:val="30"/>
        </w:rPr>
        <w:t>经费支出决算中，因公出国（境）费支出</w:t>
      </w:r>
      <w:r>
        <w:rPr>
          <w:rFonts w:ascii="仿宋_GB2312" w:eastAsia="仿宋_GB2312" w:hint="eastAsia"/>
          <w:sz w:val="30"/>
          <w:szCs w:val="30"/>
          <w:lang w:val="en-US" w:eastAsia="zh-CN"/>
        </w:rPr>
        <w:t>0</w:t>
      </w:r>
      <w:r>
        <w:rPr>
          <w:rFonts w:ascii="仿宋_GB2312" w:eastAsia="仿宋_GB2312" w:hint="eastAsia"/>
          <w:sz w:val="30"/>
          <w:szCs w:val="30"/>
        </w:rPr>
        <w:t>万元，占</w:t>
      </w:r>
      <w:r>
        <w:rPr>
          <w:rFonts w:ascii="仿宋_GB2312" w:eastAsia="仿宋_GB2312" w:hint="eastAsia"/>
          <w:sz w:val="30"/>
          <w:szCs w:val="30"/>
          <w:lang w:val="en-US" w:eastAsia="zh-CN"/>
        </w:rPr>
        <w:t>0</w:t>
      </w:r>
      <w:r>
        <w:rPr>
          <w:rFonts w:ascii="仿宋_GB2312" w:eastAsia="仿宋_GB2312" w:hint="eastAsia"/>
          <w:sz w:val="30"/>
          <w:szCs w:val="30"/>
        </w:rPr>
        <w:t>%；公务用车购置及运行维护费支出</w:t>
      </w:r>
      <w:r>
        <w:rPr>
          <w:rFonts w:ascii="仿宋_GB2312" w:eastAsia="仿宋_GB2312" w:hint="eastAsia"/>
          <w:sz w:val="30"/>
          <w:szCs w:val="30"/>
          <w:lang w:val="en-US" w:eastAsia="zh-CN"/>
        </w:rPr>
        <w:t>1.28</w:t>
      </w:r>
      <w:r>
        <w:rPr>
          <w:rFonts w:ascii="仿宋_GB2312" w:eastAsia="仿宋_GB2312" w:hint="eastAsia"/>
          <w:sz w:val="30"/>
          <w:szCs w:val="30"/>
        </w:rPr>
        <w:t>万元，占</w:t>
      </w:r>
      <w:r>
        <w:rPr>
          <w:rFonts w:ascii="仿宋_GB2312" w:eastAsia="仿宋_GB2312" w:hint="eastAsia"/>
          <w:sz w:val="30"/>
          <w:szCs w:val="30"/>
          <w:lang w:val="en-US" w:eastAsia="zh-CN"/>
        </w:rPr>
        <w:t>40.76</w:t>
      </w:r>
      <w:r>
        <w:rPr>
          <w:rFonts w:ascii="仿宋_GB2312" w:eastAsia="仿宋_GB2312" w:hint="eastAsia"/>
          <w:sz w:val="30"/>
          <w:szCs w:val="30"/>
        </w:rPr>
        <w:t>%；公务接待费支出</w:t>
      </w:r>
      <w:r>
        <w:rPr>
          <w:rFonts w:ascii="仿宋_GB2312" w:eastAsia="仿宋_GB2312" w:hint="eastAsia"/>
          <w:sz w:val="30"/>
          <w:szCs w:val="30"/>
          <w:lang w:val="en-US" w:eastAsia="zh-CN"/>
        </w:rPr>
        <w:t>1.86</w:t>
      </w:r>
      <w:r>
        <w:rPr>
          <w:rFonts w:ascii="仿宋_GB2312" w:eastAsia="仿宋_GB2312" w:hint="eastAsia"/>
          <w:sz w:val="30"/>
          <w:szCs w:val="30"/>
        </w:rPr>
        <w:t>万元，占</w:t>
      </w:r>
      <w:r>
        <w:rPr>
          <w:rFonts w:ascii="仿宋_GB2312" w:eastAsia="仿宋_GB2312" w:hint="eastAsia"/>
          <w:sz w:val="30"/>
          <w:szCs w:val="30"/>
          <w:lang w:val="en-US" w:eastAsia="zh-CN"/>
        </w:rPr>
        <w:t>59.24</w:t>
      </w:r>
      <w:r>
        <w:rPr>
          <w:rFonts w:ascii="仿宋_GB2312" w:eastAsia="仿宋_GB2312" w:hint="eastAsia"/>
          <w:sz w:val="30"/>
          <w:szCs w:val="30"/>
        </w:rPr>
        <w:t>%。具体情况如下：</w:t>
      </w:r>
    </w:p>
    <w:p>
      <w:pPr>
        <w:widowControl/>
        <w:numPr>
          <w:ilvl w:val="0"/>
          <w:numId w:val="1"/>
        </w:numPr>
        <w:snapToGrid w:val="0"/>
        <w:spacing w:before="100" w:beforeLines="0" w:after="100" w:afterLines="0" w:line="360" w:lineRule="auto"/>
        <w:ind w:firstLine="600" w:firstLineChars="200"/>
        <w:jc w:val="left"/>
        <w:rPr>
          <w:rFonts w:ascii="仿宋_GB2312" w:eastAsia="仿宋_GB2312" w:hint="eastAsia"/>
          <w:sz w:val="30"/>
          <w:szCs w:val="30"/>
        </w:rPr>
      </w:pPr>
      <w:r>
        <w:rPr>
          <w:rFonts w:ascii="仿宋_GB2312" w:eastAsia="仿宋_GB2312" w:hint="eastAsia"/>
          <w:b/>
          <w:sz w:val="30"/>
          <w:szCs w:val="30"/>
        </w:rPr>
        <w:t>因公出国（境）费</w:t>
      </w:r>
      <w:r>
        <w:rPr>
          <w:rFonts w:ascii="仿宋_GB2312" w:eastAsia="仿宋_GB2312" w:hint="eastAsia"/>
          <w:sz w:val="30"/>
          <w:szCs w:val="30"/>
        </w:rPr>
        <w:t>支出</w:t>
      </w:r>
      <w:r>
        <w:rPr>
          <w:rFonts w:ascii="仿宋_GB2312" w:eastAsia="仿宋_GB2312" w:hint="eastAsia"/>
          <w:sz w:val="30"/>
          <w:szCs w:val="30"/>
          <w:lang w:val="en-US" w:eastAsia="zh-CN"/>
        </w:rPr>
        <w:t>0</w:t>
      </w:r>
      <w:r>
        <w:rPr>
          <w:rFonts w:ascii="仿宋_GB2312" w:eastAsia="仿宋_GB2312" w:hint="eastAsia"/>
          <w:sz w:val="30"/>
          <w:szCs w:val="30"/>
        </w:rPr>
        <w:t>万元，共安排因公出国（境）团组</w:t>
      </w:r>
      <w:r>
        <w:rPr>
          <w:rFonts w:ascii="仿宋_GB2312" w:eastAsia="仿宋_GB2312" w:hint="eastAsia"/>
          <w:sz w:val="30"/>
          <w:szCs w:val="30"/>
          <w:lang w:val="en-US" w:eastAsia="zh-CN"/>
        </w:rPr>
        <w:t>0</w:t>
      </w:r>
      <w:r>
        <w:rPr>
          <w:rFonts w:ascii="仿宋_GB2312" w:eastAsia="仿宋_GB2312" w:hint="eastAsia"/>
          <w:sz w:val="30"/>
          <w:szCs w:val="30"/>
        </w:rPr>
        <w:t>个，累计</w:t>
      </w:r>
      <w:r>
        <w:rPr>
          <w:rFonts w:ascii="仿宋_GB2312" w:eastAsia="仿宋_GB2312" w:hint="eastAsia"/>
          <w:sz w:val="30"/>
          <w:szCs w:val="30"/>
          <w:lang w:val="en-US" w:eastAsia="zh-CN"/>
        </w:rPr>
        <w:t>0</w:t>
      </w:r>
      <w:r>
        <w:rPr>
          <w:rFonts w:ascii="仿宋_GB2312" w:eastAsia="仿宋_GB2312" w:hint="eastAsia"/>
          <w:sz w:val="30"/>
          <w:szCs w:val="30"/>
        </w:rPr>
        <w:t>人次。</w:t>
      </w:r>
    </w:p>
    <w:p>
      <w:pPr>
        <w:widowControl/>
        <w:numPr>
          <w:ilvl w:val="0"/>
          <w:numId w:val="0"/>
        </w:numPr>
        <w:snapToGrid w:val="0"/>
        <w:spacing w:before="100" w:beforeLines="0" w:after="100" w:afterLines="0" w:line="360" w:lineRule="auto"/>
        <w:jc w:val="left"/>
        <w:rPr>
          <w:rFonts w:ascii="仿宋_GB2312" w:eastAsia="仿宋_GB2312" w:hint="eastAsia"/>
          <w:sz w:val="30"/>
          <w:szCs w:val="30"/>
        </w:rPr>
      </w:pPr>
      <w:r>
        <w:rPr>
          <w:rFonts w:ascii="仿宋_GB2312" w:eastAsia="仿宋_GB2312" w:hint="eastAsia"/>
          <w:b/>
          <w:sz w:val="30"/>
          <w:szCs w:val="30"/>
          <w:lang w:val="en-US" w:eastAsia="zh-CN"/>
        </w:rPr>
        <w:t xml:space="preserve">    </w:t>
      </w:r>
      <w:r>
        <w:rPr>
          <w:rFonts w:ascii="仿宋_GB2312" w:eastAsia="仿宋_GB2312" w:hint="eastAsia"/>
          <w:b/>
          <w:sz w:val="30"/>
          <w:szCs w:val="30"/>
        </w:rPr>
        <w:t>2. 公务用车购置及运行维护费</w:t>
      </w:r>
      <w:r>
        <w:rPr>
          <w:rFonts w:ascii="仿宋_GB2312" w:eastAsia="仿宋_GB2312" w:hint="eastAsia"/>
          <w:sz w:val="30"/>
          <w:szCs w:val="30"/>
        </w:rPr>
        <w:t>支出</w:t>
      </w:r>
      <w:r>
        <w:rPr>
          <w:rFonts w:ascii="仿宋_GB2312" w:eastAsia="仿宋_GB2312" w:hint="eastAsia"/>
          <w:sz w:val="30"/>
          <w:szCs w:val="30"/>
          <w:lang w:val="en-US" w:eastAsia="zh-CN"/>
        </w:rPr>
        <w:t>1.28</w:t>
      </w:r>
      <w:r>
        <w:rPr>
          <w:rFonts w:ascii="仿宋_GB2312" w:eastAsia="仿宋_GB2312" w:hint="eastAsia"/>
          <w:sz w:val="30"/>
          <w:szCs w:val="30"/>
        </w:rPr>
        <w:t>万元。其中：</w:t>
      </w:r>
    </w:p>
    <w:p>
      <w:pPr>
        <w:widowControl/>
        <w:snapToGrid w:val="0"/>
        <w:spacing w:before="100" w:beforeLines="0" w:after="100" w:afterLines="0" w:line="360" w:lineRule="auto"/>
        <w:ind w:firstLine="600" w:firstLineChars="200"/>
        <w:jc w:val="left"/>
        <w:rPr>
          <w:rFonts w:ascii="仿宋_GB2312" w:eastAsia="仿宋_GB2312" w:hint="eastAsia"/>
          <w:sz w:val="30"/>
          <w:szCs w:val="30"/>
        </w:rPr>
      </w:pPr>
      <w:r>
        <w:rPr>
          <w:rFonts w:ascii="仿宋_GB2312" w:eastAsia="仿宋_GB2312" w:hint="eastAsia"/>
          <w:b/>
          <w:sz w:val="30"/>
          <w:szCs w:val="30"/>
        </w:rPr>
        <w:t>公务用车购置</w:t>
      </w:r>
      <w:r>
        <w:rPr>
          <w:rFonts w:ascii="仿宋_GB2312" w:eastAsia="仿宋_GB2312" w:hint="eastAsia"/>
          <w:sz w:val="30"/>
          <w:szCs w:val="30"/>
        </w:rPr>
        <w:t>支出</w:t>
      </w:r>
      <w:r>
        <w:rPr>
          <w:rFonts w:ascii="仿宋_GB2312" w:eastAsia="仿宋_GB2312" w:hint="eastAsia"/>
          <w:sz w:val="30"/>
          <w:szCs w:val="30"/>
          <w:lang w:val="en-US" w:eastAsia="zh-CN"/>
        </w:rPr>
        <w:t>0</w:t>
      </w:r>
      <w:r>
        <w:rPr>
          <w:rFonts w:ascii="仿宋_GB2312" w:eastAsia="仿宋_GB2312" w:hint="eastAsia"/>
          <w:sz w:val="30"/>
          <w:szCs w:val="30"/>
        </w:rPr>
        <w:t>万元，购置车辆</w:t>
      </w:r>
      <w:r>
        <w:rPr>
          <w:rFonts w:ascii="仿宋_GB2312" w:eastAsia="仿宋_GB2312" w:hint="eastAsia"/>
          <w:sz w:val="30"/>
          <w:szCs w:val="30"/>
          <w:lang w:val="en-US" w:eastAsia="zh-CN"/>
        </w:rPr>
        <w:t>0</w:t>
      </w:r>
      <w:r>
        <w:rPr>
          <w:rFonts w:ascii="仿宋_GB2312" w:eastAsia="仿宋_GB2312" w:hint="eastAsia"/>
          <w:sz w:val="30"/>
          <w:szCs w:val="30"/>
        </w:rPr>
        <w:t>辆。</w:t>
      </w:r>
    </w:p>
    <w:p>
      <w:pPr>
        <w:widowControl/>
        <w:snapToGrid w:val="0"/>
        <w:spacing w:before="100" w:beforeLines="0" w:after="100" w:afterLines="0" w:line="360" w:lineRule="auto"/>
        <w:ind w:firstLine="600" w:firstLineChars="200"/>
        <w:jc w:val="left"/>
        <w:rPr>
          <w:rFonts w:ascii="仿宋_GB2312" w:eastAsia="仿宋_GB2312" w:hint="eastAsia"/>
          <w:sz w:val="30"/>
          <w:szCs w:val="30"/>
        </w:rPr>
      </w:pPr>
      <w:r>
        <w:rPr>
          <w:rFonts w:ascii="仿宋_GB2312" w:eastAsia="仿宋_GB2312" w:hint="eastAsia"/>
          <w:b/>
          <w:sz w:val="30"/>
          <w:szCs w:val="30"/>
        </w:rPr>
        <w:t>公务用车运行维护</w:t>
      </w:r>
      <w:r>
        <w:rPr>
          <w:rFonts w:ascii="仿宋_GB2312" w:eastAsia="仿宋_GB2312" w:hint="eastAsia"/>
          <w:sz w:val="30"/>
          <w:szCs w:val="30"/>
        </w:rPr>
        <w:t>支出</w:t>
      </w:r>
      <w:r>
        <w:rPr>
          <w:rFonts w:ascii="仿宋_GB2312" w:eastAsia="仿宋_GB2312" w:hint="eastAsia"/>
          <w:sz w:val="30"/>
          <w:szCs w:val="30"/>
          <w:lang w:val="en-US" w:eastAsia="zh-CN"/>
        </w:rPr>
        <w:t>1.28</w:t>
      </w:r>
      <w:r>
        <w:rPr>
          <w:rFonts w:ascii="仿宋_GB2312" w:eastAsia="仿宋_GB2312" w:hint="eastAsia"/>
          <w:sz w:val="30"/>
          <w:szCs w:val="30"/>
        </w:rPr>
        <w:t>万元</w:t>
      </w:r>
      <w:r>
        <w:rPr>
          <w:rFonts w:ascii="仿宋_GB2312" w:eastAsia="仿宋_GB2312" w:hint="eastAsia"/>
          <w:sz w:val="30"/>
          <w:szCs w:val="30"/>
          <w:lang w:eastAsia="zh-CN"/>
        </w:rPr>
        <w:t>开展林业工作</w:t>
      </w:r>
      <w:r>
        <w:rPr>
          <w:rFonts w:ascii="仿宋_GB2312" w:eastAsia="仿宋_GB2312" w:hint="eastAsia"/>
          <w:sz w:val="30"/>
          <w:szCs w:val="30"/>
        </w:rPr>
        <w:t>所需车辆燃料费、维修费、过路过桥费、保险费等。</w:t>
      </w:r>
    </w:p>
    <w:p>
      <w:pPr>
        <w:widowControl/>
        <w:snapToGrid w:val="0"/>
        <w:spacing w:before="100" w:beforeLines="0" w:after="100" w:afterLines="0" w:line="360" w:lineRule="auto"/>
        <w:ind w:firstLine="600" w:firstLineChars="200"/>
        <w:jc w:val="left"/>
        <w:rPr>
          <w:rFonts w:ascii="仿宋_GB2312" w:eastAsia="仿宋_GB2312" w:hint="eastAsia"/>
          <w:sz w:val="30"/>
          <w:szCs w:val="30"/>
        </w:rPr>
      </w:pPr>
      <w:r>
        <w:rPr>
          <w:rFonts w:ascii="仿宋_GB2312" w:eastAsia="仿宋_GB2312" w:hint="eastAsia"/>
          <w:b/>
          <w:sz w:val="30"/>
          <w:szCs w:val="30"/>
        </w:rPr>
        <w:t>3.公务接待费</w:t>
      </w:r>
      <w:r>
        <w:rPr>
          <w:rFonts w:ascii="仿宋_GB2312" w:eastAsia="仿宋_GB2312" w:hint="eastAsia"/>
          <w:sz w:val="30"/>
          <w:szCs w:val="30"/>
        </w:rPr>
        <w:t>支出</w:t>
      </w:r>
      <w:r>
        <w:rPr>
          <w:rFonts w:ascii="仿宋_GB2312" w:eastAsia="仿宋_GB2312" w:hint="eastAsia"/>
          <w:sz w:val="30"/>
          <w:szCs w:val="30"/>
          <w:lang w:val="en-US" w:eastAsia="zh-CN"/>
        </w:rPr>
        <w:t>1.86</w:t>
      </w:r>
      <w:r>
        <w:rPr>
          <w:rFonts w:ascii="仿宋_GB2312" w:eastAsia="仿宋_GB2312" w:hint="eastAsia"/>
          <w:sz w:val="30"/>
          <w:szCs w:val="30"/>
        </w:rPr>
        <w:t>万元。其中：</w:t>
      </w:r>
    </w:p>
    <w:p>
      <w:pPr>
        <w:widowControl/>
        <w:snapToGrid w:val="0"/>
        <w:spacing w:before="100" w:beforeLines="0" w:after="100" w:afterLines="0" w:line="360" w:lineRule="auto"/>
        <w:ind w:firstLine="600" w:firstLineChars="200"/>
        <w:jc w:val="left"/>
        <w:rPr>
          <w:rFonts w:ascii="仿宋_GB2312" w:eastAsia="仿宋_GB2312" w:hint="eastAsia"/>
          <w:sz w:val="30"/>
          <w:szCs w:val="30"/>
        </w:rPr>
      </w:pPr>
      <w:r>
        <w:rPr>
          <w:rFonts w:ascii="仿宋_GB2312" w:eastAsia="仿宋_GB2312" w:hint="eastAsia"/>
          <w:b/>
          <w:sz w:val="30"/>
          <w:szCs w:val="30"/>
        </w:rPr>
        <w:t>国内接待费</w:t>
      </w:r>
      <w:r>
        <w:rPr>
          <w:rFonts w:ascii="仿宋_GB2312" w:eastAsia="仿宋_GB2312" w:hint="eastAsia"/>
          <w:sz w:val="30"/>
          <w:szCs w:val="30"/>
        </w:rPr>
        <w:t>支出</w:t>
      </w:r>
      <w:r>
        <w:rPr>
          <w:rFonts w:ascii="仿宋_GB2312" w:eastAsia="仿宋_GB2312" w:hint="eastAsia"/>
          <w:sz w:val="30"/>
          <w:szCs w:val="30"/>
          <w:lang w:val="en-US" w:eastAsia="zh-CN"/>
        </w:rPr>
        <w:t>1.86</w:t>
      </w:r>
      <w:r>
        <w:rPr>
          <w:rFonts w:ascii="仿宋_GB2312" w:eastAsia="仿宋_GB2312" w:hint="eastAsia"/>
          <w:sz w:val="30"/>
          <w:szCs w:val="30"/>
        </w:rPr>
        <w:t>万元（其中：外事接待费支出</w:t>
      </w:r>
      <w:r>
        <w:rPr>
          <w:rFonts w:ascii="仿宋_GB2312" w:eastAsia="仿宋_GB2312" w:hint="eastAsia"/>
          <w:sz w:val="30"/>
          <w:szCs w:val="30"/>
          <w:lang w:val="en-US" w:eastAsia="zh-CN"/>
        </w:rPr>
        <w:t>0</w:t>
      </w:r>
      <w:r>
        <w:rPr>
          <w:rFonts w:ascii="仿宋_GB2312" w:eastAsia="仿宋_GB2312" w:hint="eastAsia"/>
          <w:sz w:val="30"/>
          <w:szCs w:val="30"/>
        </w:rPr>
        <w:t>万元），共安排国内公务接待</w:t>
      </w:r>
      <w:r>
        <w:rPr>
          <w:rFonts w:ascii="仿宋_GB2312" w:eastAsia="仿宋_GB2312" w:hint="eastAsia"/>
          <w:sz w:val="30"/>
          <w:szCs w:val="30"/>
          <w:lang w:val="en-US" w:eastAsia="zh-CN"/>
        </w:rPr>
        <w:t>38</w:t>
      </w:r>
      <w:r>
        <w:rPr>
          <w:rFonts w:ascii="仿宋_GB2312" w:eastAsia="仿宋_GB2312" w:hint="eastAsia"/>
          <w:sz w:val="30"/>
          <w:szCs w:val="30"/>
        </w:rPr>
        <w:t>批次（其中：外事接待</w:t>
      </w:r>
      <w:r>
        <w:rPr>
          <w:rFonts w:ascii="仿宋_GB2312" w:eastAsia="仿宋_GB2312" w:hint="eastAsia"/>
          <w:sz w:val="30"/>
          <w:szCs w:val="30"/>
          <w:lang w:val="en-US" w:eastAsia="zh-CN"/>
        </w:rPr>
        <w:t>0</w:t>
      </w:r>
      <w:r>
        <w:rPr>
          <w:rFonts w:ascii="仿宋_GB2312" w:eastAsia="仿宋_GB2312" w:hint="eastAsia"/>
          <w:sz w:val="30"/>
          <w:szCs w:val="30"/>
        </w:rPr>
        <w:t>批次），接待人次</w:t>
      </w:r>
      <w:r>
        <w:rPr>
          <w:rFonts w:ascii="仿宋_GB2312" w:eastAsia="仿宋_GB2312" w:hint="eastAsia"/>
          <w:sz w:val="30"/>
          <w:szCs w:val="30"/>
          <w:lang w:val="en-US" w:eastAsia="zh-CN"/>
        </w:rPr>
        <w:t>308</w:t>
      </w:r>
      <w:r>
        <w:rPr>
          <w:rFonts w:ascii="仿宋_GB2312" w:eastAsia="仿宋_GB2312" w:hint="eastAsia"/>
          <w:sz w:val="30"/>
          <w:szCs w:val="30"/>
        </w:rPr>
        <w:t>人（其中：外事接待人次</w:t>
      </w:r>
      <w:r>
        <w:rPr>
          <w:rFonts w:ascii="仿宋_GB2312" w:eastAsia="仿宋_GB2312" w:hint="eastAsia"/>
          <w:sz w:val="30"/>
          <w:szCs w:val="30"/>
          <w:lang w:val="en-US" w:eastAsia="zh-CN"/>
        </w:rPr>
        <w:t>0</w:t>
      </w:r>
      <w:r>
        <w:rPr>
          <w:rFonts w:ascii="仿宋_GB2312" w:eastAsia="仿宋_GB2312" w:hint="eastAsia"/>
          <w:sz w:val="30"/>
          <w:szCs w:val="30"/>
        </w:rPr>
        <w:t>人）。主要用于</w:t>
      </w:r>
      <w:r>
        <w:rPr>
          <w:rFonts w:ascii="仿宋_GB2312" w:eastAsia="仿宋_GB2312" w:hint="eastAsia"/>
          <w:sz w:val="30"/>
          <w:szCs w:val="30"/>
          <w:lang w:eastAsia="zh-CN"/>
        </w:rPr>
        <w:t>林业项目督查、检查验收等</w:t>
      </w:r>
      <w:r>
        <w:rPr>
          <w:rFonts w:ascii="仿宋_GB2312" w:eastAsia="仿宋_GB2312" w:hint="eastAsia"/>
          <w:sz w:val="30"/>
          <w:szCs w:val="30"/>
        </w:rPr>
        <w:t>发生的接待支出。</w:t>
      </w:r>
    </w:p>
    <w:p>
      <w:pPr>
        <w:widowControl/>
        <w:snapToGrid w:val="0"/>
        <w:spacing w:before="100" w:beforeLines="0" w:after="100" w:afterLines="0" w:line="360" w:lineRule="auto"/>
        <w:ind w:firstLine="600" w:firstLineChars="200"/>
        <w:jc w:val="left"/>
        <w:rPr>
          <w:rFonts w:ascii="仿宋_GB2312" w:eastAsia="仿宋_GB2312" w:hint="eastAsia"/>
          <w:sz w:val="30"/>
          <w:szCs w:val="30"/>
        </w:rPr>
      </w:pPr>
      <w:r>
        <w:rPr>
          <w:rFonts w:ascii="仿宋_GB2312" w:eastAsia="仿宋_GB2312" w:hint="eastAsia"/>
          <w:b/>
          <w:sz w:val="30"/>
          <w:szCs w:val="30"/>
        </w:rPr>
        <w:t>国（境）外接待费</w:t>
      </w:r>
      <w:r>
        <w:rPr>
          <w:rFonts w:ascii="仿宋_GB2312" w:eastAsia="仿宋_GB2312" w:hint="eastAsia"/>
          <w:sz w:val="30"/>
          <w:szCs w:val="30"/>
        </w:rPr>
        <w:t>支出</w:t>
      </w:r>
      <w:r>
        <w:rPr>
          <w:rFonts w:ascii="仿宋_GB2312" w:eastAsia="仿宋_GB2312" w:hint="eastAsia"/>
          <w:sz w:val="30"/>
          <w:szCs w:val="30"/>
          <w:lang w:val="en-US" w:eastAsia="zh-CN"/>
        </w:rPr>
        <w:t>0</w:t>
      </w:r>
      <w:r>
        <w:rPr>
          <w:rFonts w:ascii="仿宋_GB2312" w:eastAsia="仿宋_GB2312" w:hint="eastAsia"/>
          <w:sz w:val="30"/>
          <w:szCs w:val="30"/>
        </w:rPr>
        <w:t>万元，共安排国（境）外公务接待</w:t>
      </w:r>
      <w:r>
        <w:rPr>
          <w:rFonts w:ascii="仿宋_GB2312" w:eastAsia="仿宋_GB2312" w:hint="eastAsia"/>
          <w:sz w:val="30"/>
          <w:szCs w:val="30"/>
          <w:lang w:val="en-US" w:eastAsia="zh-CN"/>
        </w:rPr>
        <w:t>0</w:t>
      </w:r>
      <w:r>
        <w:rPr>
          <w:rFonts w:ascii="仿宋_GB2312" w:eastAsia="仿宋_GB2312" w:hint="eastAsia"/>
          <w:sz w:val="30"/>
          <w:szCs w:val="30"/>
        </w:rPr>
        <w:t>批次，接待人次</w:t>
      </w:r>
      <w:r>
        <w:rPr>
          <w:rFonts w:ascii="仿宋_GB2312" w:eastAsia="仿宋_GB2312" w:hint="eastAsia"/>
          <w:sz w:val="30"/>
          <w:szCs w:val="30"/>
          <w:lang w:val="en-US" w:eastAsia="zh-CN"/>
        </w:rPr>
        <w:t>0</w:t>
      </w:r>
      <w:r>
        <w:rPr>
          <w:rFonts w:ascii="仿宋_GB2312" w:eastAsia="仿宋_GB2312" w:hint="eastAsia"/>
          <w:sz w:val="30"/>
          <w:szCs w:val="30"/>
        </w:rPr>
        <w:t>人。</w:t>
      </w:r>
    </w:p>
    <w:p>
      <w:pPr>
        <w:widowControl/>
        <w:snapToGrid w:val="0"/>
        <w:spacing w:before="100" w:beforeLines="0" w:after="100" w:afterLines="0" w:line="360" w:lineRule="auto"/>
        <w:ind w:firstLine="640" w:firstLineChars="200"/>
        <w:jc w:val="left"/>
        <w:rPr>
          <w:rFonts w:ascii="仿宋_GB2312" w:eastAsia="仿宋_GB2312" w:hint="eastAsia"/>
          <w:sz w:val="32"/>
          <w:szCs w:val="32"/>
        </w:rPr>
      </w:pPr>
      <w:r>
        <w:rPr>
          <w:rFonts w:ascii="黑体" w:eastAsia="黑体" w:hAnsi="黑体" w:cs="方正小标宋简体" w:hint="eastAsia"/>
          <w:sz w:val="32"/>
          <w:szCs w:val="32"/>
        </w:rPr>
        <w:t xml:space="preserve">第四部分  </w:t>
      </w:r>
      <w:r>
        <w:rPr>
          <w:rFonts w:ascii="黑体" w:eastAsia="黑体" w:hAnsi="黑体" w:hint="eastAsia"/>
          <w:sz w:val="32"/>
          <w:szCs w:val="32"/>
        </w:rPr>
        <w:t>其他重要事项及相关口径情况说明</w:t>
      </w:r>
    </w:p>
    <w:p>
      <w:pPr>
        <w:ind w:firstLine="600" w:firstLineChars="200"/>
        <w:jc w:val="left"/>
        <w:rPr>
          <w:rFonts w:ascii="黑体" w:eastAsia="黑体" w:hAnsi="黑体" w:cs="黑体" w:hint="eastAsia"/>
          <w:sz w:val="30"/>
          <w:szCs w:val="30"/>
        </w:rPr>
      </w:pPr>
      <w:r>
        <w:rPr>
          <w:rFonts w:ascii="黑体" w:eastAsia="黑体" w:hAnsi="黑体" w:cs="黑体" w:hint="eastAsia"/>
          <w:sz w:val="30"/>
          <w:szCs w:val="30"/>
        </w:rPr>
        <w:t>一</w:t>
      </w:r>
      <w:r>
        <w:rPr>
          <w:rFonts w:ascii="黑体" w:eastAsia="黑体" w:hAnsi="黑体" w:cs="黑体" w:hint="eastAsia"/>
          <w:sz w:val="30"/>
          <w:szCs w:val="30"/>
          <w:lang w:eastAsia="zh-CN"/>
        </w:rPr>
        <w:t>、</w:t>
      </w:r>
      <w:r>
        <w:rPr>
          <w:rFonts w:ascii="黑体" w:eastAsia="黑体" w:hAnsi="黑体" w:cs="黑体" w:hint="eastAsia"/>
          <w:sz w:val="30"/>
          <w:szCs w:val="30"/>
        </w:rPr>
        <w:t>机关运行经费支出情况</w:t>
      </w:r>
    </w:p>
    <w:p>
      <w:pPr>
        <w:ind w:firstLine="600" w:firstLineChars="200"/>
        <w:jc w:val="left"/>
        <w:rPr>
          <w:rFonts w:ascii="仿宋_GB2312" w:eastAsia="仿宋_GB2312" w:hAnsi="黑体" w:cs="方正小标宋简体" w:hint="eastAsia"/>
          <w:sz w:val="30"/>
          <w:szCs w:val="30"/>
        </w:rPr>
      </w:pPr>
      <w:r>
        <w:rPr>
          <w:rFonts w:ascii="仿宋_GB2312" w:eastAsia="仿宋_GB2312" w:hAnsi="黑体" w:cs="方正小标宋简体" w:hint="eastAsia"/>
          <w:sz w:val="30"/>
          <w:szCs w:val="30"/>
          <w:lang w:eastAsia="zh-CN"/>
        </w:rPr>
        <w:t>维西县林业局</w:t>
      </w:r>
      <w:r>
        <w:rPr>
          <w:rFonts w:ascii="仿宋_GB2312" w:eastAsia="仿宋_GB2312" w:hAnsi="黑体" w:cs="方正小标宋简体" w:hint="eastAsia"/>
          <w:sz w:val="30"/>
          <w:szCs w:val="30"/>
          <w:lang w:val="en-US" w:eastAsia="zh-CN"/>
        </w:rPr>
        <w:t>2018</w:t>
      </w:r>
      <w:r>
        <w:rPr>
          <w:rFonts w:ascii="仿宋_GB2312" w:eastAsia="仿宋_GB2312" w:hAnsi="黑体" w:cs="方正小标宋简体" w:hint="eastAsia"/>
          <w:sz w:val="30"/>
          <w:szCs w:val="30"/>
        </w:rPr>
        <w:t>年机关运行经费支出</w:t>
      </w:r>
      <w:r>
        <w:rPr>
          <w:rFonts w:ascii="仿宋_GB2312" w:eastAsia="仿宋_GB2312" w:hAnsi="黑体" w:cs="方正小标宋简体" w:hint="eastAsia"/>
          <w:sz w:val="30"/>
          <w:szCs w:val="30"/>
          <w:lang w:val="en-US" w:eastAsia="zh-CN"/>
        </w:rPr>
        <w:t>39.32</w:t>
      </w:r>
      <w:r>
        <w:rPr>
          <w:rFonts w:ascii="仿宋_GB2312" w:eastAsia="仿宋_GB2312" w:hAnsi="黑体" w:cs="方正小标宋简体" w:hint="eastAsia"/>
          <w:sz w:val="30"/>
          <w:szCs w:val="30"/>
        </w:rPr>
        <w:t>万元，与上年对比</w:t>
      </w:r>
      <w:r>
        <w:rPr>
          <w:rFonts w:ascii="仿宋_GB2312" w:eastAsia="仿宋_GB2312" w:hAnsi="黑体" w:cs="方正小标宋简体" w:hint="eastAsia"/>
          <w:sz w:val="30"/>
          <w:szCs w:val="30"/>
          <w:lang w:eastAsia="zh-CN"/>
        </w:rPr>
        <w:t>增加</w:t>
      </w:r>
      <w:r>
        <w:rPr>
          <w:rFonts w:ascii="仿宋_GB2312" w:eastAsia="仿宋_GB2312" w:hAnsi="黑体" w:cs="方正小标宋简体" w:hint="eastAsia"/>
          <w:sz w:val="30"/>
          <w:szCs w:val="30"/>
          <w:lang w:val="en-US" w:eastAsia="zh-CN"/>
        </w:rPr>
        <w:t>0.61万元</w:t>
      </w:r>
      <w:r>
        <w:rPr>
          <w:rFonts w:ascii="仿宋_GB2312" w:eastAsia="仿宋_GB2312" w:hAnsi="黑体" w:cs="方正小标宋简体" w:hint="eastAsia"/>
          <w:sz w:val="30"/>
          <w:szCs w:val="30"/>
        </w:rPr>
        <w:t>,主要原因为增加工会费。部门机关运行经费主要用于</w:t>
      </w:r>
      <w:r>
        <w:rPr>
          <w:rFonts w:ascii="仿宋_GB2312" w:eastAsia="仿宋_GB2312" w:hAnsi="宋体" w:cs="Arial" w:hint="eastAsia"/>
          <w:kern w:val="0"/>
          <w:sz w:val="30"/>
          <w:szCs w:val="30"/>
        </w:rPr>
        <w:t>办公费等（主要用于办公费、水电费、邮电费、工会费、公务接待费、公务用车运行维护费、差旅费</w:t>
      </w:r>
      <w:r>
        <w:rPr>
          <w:rFonts w:ascii="仿宋_GB2312" w:eastAsia="仿宋_GB2312" w:hAnsi="宋体" w:cs="Arial" w:hint="eastAsia"/>
          <w:kern w:val="0"/>
          <w:sz w:val="30"/>
          <w:szCs w:val="30"/>
          <w:lang w:eastAsia="zh-CN"/>
        </w:rPr>
        <w:t>、网络服务费</w:t>
      </w:r>
      <w:r>
        <w:rPr>
          <w:rFonts w:ascii="仿宋_GB2312" w:eastAsia="仿宋_GB2312" w:hAnsi="宋体" w:cs="Arial" w:hint="eastAsia"/>
          <w:kern w:val="0"/>
          <w:sz w:val="30"/>
          <w:szCs w:val="30"/>
        </w:rPr>
        <w:t>等）</w:t>
      </w:r>
      <w:r>
        <w:rPr>
          <w:rFonts w:ascii="仿宋_GB2312" w:eastAsia="仿宋_GB2312" w:hAnsi="黑体" w:cs="方正小标宋简体" w:hint="eastAsia"/>
          <w:sz w:val="30"/>
          <w:szCs w:val="30"/>
        </w:rPr>
        <w:t>。</w:t>
      </w:r>
    </w:p>
    <w:p>
      <w:pPr>
        <w:widowControl/>
        <w:ind w:firstLine="600" w:firstLineChars="200"/>
        <w:rPr>
          <w:rFonts w:ascii="黑体" w:eastAsia="黑体" w:hAnsi="黑体" w:cs="黑体" w:hint="eastAsia"/>
          <w:color w:val="000000"/>
          <w:kern w:val="0"/>
          <w:sz w:val="30"/>
          <w:szCs w:val="30"/>
        </w:rPr>
      </w:pPr>
      <w:r>
        <w:rPr>
          <w:rFonts w:ascii="黑体" w:eastAsia="黑体" w:hAnsi="黑体" w:cs="黑体" w:hint="eastAsia"/>
          <w:color w:val="000000"/>
          <w:kern w:val="0"/>
          <w:sz w:val="30"/>
          <w:szCs w:val="30"/>
          <w:lang w:eastAsia="zh-CN"/>
        </w:rPr>
        <w:t>二、</w:t>
      </w:r>
      <w:r>
        <w:rPr>
          <w:rFonts w:ascii="黑体" w:eastAsia="黑体" w:hAnsi="黑体" w:cs="黑体" w:hint="eastAsia"/>
          <w:color w:val="000000"/>
          <w:kern w:val="0"/>
          <w:sz w:val="30"/>
          <w:szCs w:val="30"/>
        </w:rPr>
        <w:t>国有资产占用情况</w:t>
      </w:r>
    </w:p>
    <w:p>
      <w:pPr>
        <w:ind w:firstLine="600" w:firstLineChars="200"/>
        <w:jc w:val="left"/>
        <w:rPr>
          <w:rFonts w:ascii="宋体" w:hAnsi="宋体" w:cs="宋体"/>
          <w:color w:val="000000"/>
          <w:kern w:val="0"/>
          <w:sz w:val="30"/>
          <w:szCs w:val="30"/>
        </w:rPr>
      </w:pPr>
      <w:r>
        <w:rPr>
          <w:rFonts w:ascii="仿宋_GB2312" w:eastAsia="仿宋_GB2312" w:hAnsi="黑体" w:cs="方正小标宋简体" w:hint="eastAsia"/>
          <w:sz w:val="30"/>
          <w:szCs w:val="30"/>
        </w:rPr>
        <w:t>截至201</w:t>
      </w:r>
      <w:r>
        <w:rPr>
          <w:rFonts w:ascii="仿宋_GB2312" w:eastAsia="仿宋_GB2312" w:hAnsi="黑体" w:cs="方正小标宋简体" w:hint="eastAsia"/>
          <w:sz w:val="30"/>
          <w:szCs w:val="30"/>
          <w:lang w:val="en-US" w:eastAsia="zh-CN"/>
        </w:rPr>
        <w:t>8</w:t>
      </w:r>
      <w:r>
        <w:rPr>
          <w:rFonts w:ascii="仿宋_GB2312" w:eastAsia="仿宋_GB2312" w:hAnsi="黑体" w:cs="方正小标宋简体" w:hint="eastAsia"/>
          <w:sz w:val="30"/>
          <w:szCs w:val="30"/>
        </w:rPr>
        <w:t>年12月31日，</w:t>
      </w:r>
      <w:r>
        <w:rPr>
          <w:rFonts w:ascii="仿宋_GB2312" w:eastAsia="仿宋_GB2312" w:hAnsi="黑体" w:cs="方正小标宋简体" w:hint="eastAsia"/>
          <w:sz w:val="30"/>
          <w:szCs w:val="30"/>
          <w:lang w:eastAsia="zh-CN"/>
        </w:rPr>
        <w:t>维西县林业局</w:t>
      </w:r>
      <w:r>
        <w:rPr>
          <w:rFonts w:ascii="仿宋_GB2312" w:eastAsia="仿宋_GB2312" w:hAnsi="黑体" w:cs="方正小标宋简体" w:hint="eastAsia"/>
          <w:sz w:val="30"/>
          <w:szCs w:val="30"/>
        </w:rPr>
        <w:t>资产总额</w:t>
      </w:r>
      <w:r>
        <w:rPr>
          <w:rFonts w:ascii="仿宋_GB2312" w:eastAsia="仿宋_GB2312" w:hAnsi="黑体" w:cs="方正小标宋简体" w:hint="eastAsia"/>
          <w:sz w:val="30"/>
          <w:szCs w:val="30"/>
          <w:lang w:val="en-US" w:eastAsia="zh-CN"/>
        </w:rPr>
        <w:t>3365.95</w:t>
      </w:r>
      <w:r>
        <w:rPr>
          <w:rFonts w:ascii="仿宋_GB2312" w:eastAsia="仿宋_GB2312" w:hAnsi="黑体" w:cs="方正小标宋简体" w:hint="eastAsia"/>
          <w:sz w:val="30"/>
          <w:szCs w:val="30"/>
        </w:rPr>
        <w:t>万元，其中，流动资产</w:t>
      </w:r>
      <w:r>
        <w:rPr>
          <w:rFonts w:ascii="仿宋_GB2312" w:eastAsia="仿宋_GB2312" w:hAnsi="黑体" w:cs="方正小标宋简体" w:hint="eastAsia"/>
          <w:sz w:val="30"/>
          <w:szCs w:val="30"/>
          <w:lang w:val="en-US" w:eastAsia="zh-CN"/>
        </w:rPr>
        <w:t>1865.50</w:t>
      </w:r>
      <w:r>
        <w:rPr>
          <w:rFonts w:ascii="仿宋_GB2312" w:eastAsia="仿宋_GB2312" w:hAnsi="黑体" w:cs="方正小标宋简体" w:hint="eastAsia"/>
          <w:sz w:val="30"/>
          <w:szCs w:val="30"/>
        </w:rPr>
        <w:t>万元，固定资产</w:t>
      </w:r>
      <w:r>
        <w:rPr>
          <w:rFonts w:ascii="仿宋_GB2312" w:eastAsia="仿宋_GB2312" w:hAnsi="黑体" w:cs="方正小标宋简体" w:hint="eastAsia"/>
          <w:sz w:val="30"/>
          <w:szCs w:val="30"/>
          <w:lang w:val="en-US" w:eastAsia="zh-CN"/>
        </w:rPr>
        <w:t>1500.45</w:t>
      </w:r>
      <w:r>
        <w:rPr>
          <w:rFonts w:ascii="仿宋_GB2312" w:eastAsia="仿宋_GB2312" w:hAnsi="黑体" w:cs="方正小标宋简体" w:hint="eastAsia"/>
          <w:sz w:val="30"/>
          <w:szCs w:val="30"/>
        </w:rPr>
        <w:t>万元，对外投资及有价证券</w:t>
      </w:r>
      <w:r>
        <w:rPr>
          <w:rFonts w:ascii="仿宋_GB2312" w:eastAsia="仿宋_GB2312" w:hAnsi="黑体" w:cs="方正小标宋简体" w:hint="eastAsia"/>
          <w:sz w:val="30"/>
          <w:szCs w:val="30"/>
          <w:lang w:val="en-US" w:eastAsia="zh-CN"/>
        </w:rPr>
        <w:t>0</w:t>
      </w:r>
      <w:r>
        <w:rPr>
          <w:rFonts w:ascii="仿宋_GB2312" w:eastAsia="仿宋_GB2312" w:hAnsi="黑体" w:cs="方正小标宋简体" w:hint="eastAsia"/>
          <w:sz w:val="30"/>
          <w:szCs w:val="30"/>
        </w:rPr>
        <w:t>万元，在建工程</w:t>
      </w:r>
      <w:r>
        <w:rPr>
          <w:rFonts w:ascii="仿宋_GB2312" w:eastAsia="仿宋_GB2312" w:hAnsi="黑体" w:cs="方正小标宋简体" w:hint="eastAsia"/>
          <w:sz w:val="30"/>
          <w:szCs w:val="30"/>
          <w:lang w:val="en-US" w:eastAsia="zh-CN"/>
        </w:rPr>
        <w:t>0</w:t>
      </w:r>
      <w:r>
        <w:rPr>
          <w:rFonts w:ascii="仿宋_GB2312" w:eastAsia="仿宋_GB2312" w:hAnsi="黑体" w:cs="方正小标宋简体" w:hint="eastAsia"/>
          <w:sz w:val="30"/>
          <w:szCs w:val="30"/>
        </w:rPr>
        <w:t>万元，无形资产</w:t>
      </w:r>
      <w:r>
        <w:rPr>
          <w:rFonts w:ascii="仿宋_GB2312" w:eastAsia="仿宋_GB2312" w:hAnsi="黑体" w:cs="方正小标宋简体" w:hint="eastAsia"/>
          <w:sz w:val="30"/>
          <w:szCs w:val="30"/>
          <w:lang w:val="en-US" w:eastAsia="zh-CN"/>
        </w:rPr>
        <w:t>0</w:t>
      </w:r>
      <w:r>
        <w:rPr>
          <w:rFonts w:ascii="仿宋_GB2312" w:eastAsia="仿宋_GB2312" w:hAnsi="黑体" w:cs="方正小标宋简体" w:hint="eastAsia"/>
          <w:sz w:val="30"/>
          <w:szCs w:val="30"/>
        </w:rPr>
        <w:t>万元，其他资产</w:t>
      </w:r>
      <w:r>
        <w:rPr>
          <w:rFonts w:ascii="仿宋_GB2312" w:eastAsia="仿宋_GB2312" w:hAnsi="黑体" w:cs="方正小标宋简体" w:hint="eastAsia"/>
          <w:sz w:val="30"/>
          <w:szCs w:val="30"/>
          <w:lang w:val="en-US" w:eastAsia="zh-CN"/>
        </w:rPr>
        <w:t>0</w:t>
      </w:r>
      <w:r>
        <w:rPr>
          <w:rFonts w:ascii="仿宋_GB2312" w:eastAsia="仿宋_GB2312" w:hAnsi="黑体" w:cs="方正小标宋简体" w:hint="eastAsia"/>
          <w:sz w:val="30"/>
          <w:szCs w:val="30"/>
        </w:rPr>
        <w:t>万元。与上年相比，本年资产总额减少</w:t>
      </w:r>
      <w:r>
        <w:rPr>
          <w:rFonts w:ascii="仿宋_GB2312" w:eastAsia="仿宋_GB2312" w:hAnsi="黑体" w:cs="方正小标宋简体" w:hint="eastAsia"/>
          <w:sz w:val="30"/>
          <w:szCs w:val="30"/>
          <w:lang w:val="en-US" w:eastAsia="zh-CN"/>
        </w:rPr>
        <w:t>3968.52</w:t>
      </w:r>
      <w:r>
        <w:rPr>
          <w:rFonts w:ascii="仿宋_GB2312" w:eastAsia="仿宋_GB2312" w:hAnsi="黑体" w:cs="方正小标宋简体" w:hint="eastAsia"/>
          <w:sz w:val="30"/>
          <w:szCs w:val="30"/>
        </w:rPr>
        <w:t>万元，其中固定资产减少</w:t>
      </w:r>
      <w:r>
        <w:rPr>
          <w:rFonts w:ascii="仿宋_GB2312" w:eastAsia="仿宋_GB2312" w:hAnsi="黑体" w:cs="方正小标宋简体" w:hint="eastAsia"/>
          <w:sz w:val="30"/>
          <w:szCs w:val="30"/>
          <w:lang w:val="en-US" w:eastAsia="zh-CN"/>
        </w:rPr>
        <w:t>236.61</w:t>
      </w:r>
      <w:r>
        <w:rPr>
          <w:rFonts w:ascii="仿宋_GB2312" w:eastAsia="仿宋_GB2312" w:hAnsi="黑体" w:cs="方正小标宋简体" w:hint="eastAsia"/>
          <w:sz w:val="30"/>
          <w:szCs w:val="30"/>
        </w:rPr>
        <w:t>万元。处置房屋建筑物</w:t>
      </w:r>
      <w:r>
        <w:rPr>
          <w:rFonts w:ascii="仿宋_GB2312" w:eastAsia="仿宋_GB2312" w:hAnsi="黑体" w:cs="方正小标宋简体" w:hint="eastAsia"/>
          <w:sz w:val="30"/>
          <w:szCs w:val="30"/>
          <w:lang w:val="en-US" w:eastAsia="zh-CN"/>
        </w:rPr>
        <w:t>2599.74</w:t>
      </w:r>
      <w:r>
        <w:rPr>
          <w:rFonts w:ascii="仿宋_GB2312" w:eastAsia="仿宋_GB2312" w:hAnsi="黑体" w:cs="方正小标宋简体" w:hint="eastAsia"/>
          <w:sz w:val="30"/>
          <w:szCs w:val="30"/>
        </w:rPr>
        <w:t>平方米，账面原值</w:t>
      </w:r>
      <w:r>
        <w:rPr>
          <w:rFonts w:ascii="仿宋_GB2312" w:eastAsia="仿宋_GB2312" w:hAnsi="黑体" w:cs="方正小标宋简体" w:hint="eastAsia"/>
          <w:sz w:val="30"/>
          <w:szCs w:val="30"/>
          <w:lang w:val="en-US" w:eastAsia="zh-CN"/>
        </w:rPr>
        <w:t>64.46</w:t>
      </w:r>
      <w:r>
        <w:rPr>
          <w:rFonts w:ascii="仿宋_GB2312" w:eastAsia="仿宋_GB2312" w:hAnsi="黑体" w:cs="方正小标宋简体" w:hint="eastAsia"/>
          <w:sz w:val="30"/>
          <w:szCs w:val="30"/>
        </w:rPr>
        <w:t>万元；报废报损资产</w:t>
      </w:r>
      <w:r>
        <w:rPr>
          <w:rFonts w:ascii="仿宋_GB2312" w:eastAsia="仿宋_GB2312" w:hAnsi="黑体" w:cs="方正小标宋简体" w:hint="eastAsia"/>
          <w:sz w:val="30"/>
          <w:szCs w:val="30"/>
          <w:lang w:val="en-US" w:eastAsia="zh-CN"/>
        </w:rPr>
        <w:t>87</w:t>
      </w:r>
      <w:r>
        <w:rPr>
          <w:rFonts w:ascii="仿宋_GB2312" w:eastAsia="仿宋_GB2312" w:hAnsi="黑体" w:cs="方正小标宋简体" w:hint="eastAsia"/>
          <w:sz w:val="30"/>
          <w:szCs w:val="30"/>
        </w:rPr>
        <w:t>项，账面原值</w:t>
      </w:r>
      <w:r>
        <w:rPr>
          <w:rFonts w:ascii="仿宋_GB2312" w:eastAsia="仿宋_GB2312" w:hAnsi="黑体" w:cs="方正小标宋简体" w:hint="eastAsia"/>
          <w:sz w:val="30"/>
          <w:szCs w:val="30"/>
          <w:lang w:val="en-US" w:eastAsia="zh-CN"/>
        </w:rPr>
        <w:t>34.36</w:t>
      </w:r>
      <w:r>
        <w:rPr>
          <w:rFonts w:ascii="仿宋_GB2312" w:eastAsia="仿宋_GB2312" w:hAnsi="黑体" w:cs="方正小标宋简体" w:hint="eastAsia"/>
          <w:sz w:val="30"/>
          <w:szCs w:val="30"/>
        </w:rPr>
        <w:t>万元。</w:t>
      </w:r>
    </w:p>
    <w:tbl>
      <w:tblPr>
        <w:tblpPr w:leftFromText="180" w:rightFromText="180" w:topFromText="100" w:bottomFromText="100" w:vertAnchor="text" w:horzAnchor="page" w:tblpX="534" w:tblpY="490"/>
        <w:tblOverlap w:val="never"/>
        <w:tblLayout w:type="fixed"/>
        <w:tblCellMar>
          <w:top w:w="0" w:type="dxa"/>
          <w:left w:w="0" w:type="dxa"/>
          <w:bottom w:w="0" w:type="dxa"/>
          <w:right w:w="0" w:type="dxa"/>
        </w:tblCellMar>
        <w:tblLook w:val="0000"/>
      </w:tblPr>
      <w:tblGrid>
        <w:gridCol w:w="485"/>
        <w:gridCol w:w="330"/>
        <w:gridCol w:w="795"/>
        <w:gridCol w:w="735"/>
        <w:gridCol w:w="774"/>
        <w:gridCol w:w="725"/>
        <w:gridCol w:w="769"/>
        <w:gridCol w:w="67"/>
        <w:gridCol w:w="865"/>
        <w:gridCol w:w="331"/>
        <w:gridCol w:w="643"/>
        <w:gridCol w:w="196"/>
        <w:gridCol w:w="978"/>
        <w:gridCol w:w="979"/>
        <w:gridCol w:w="360"/>
        <w:gridCol w:w="618"/>
        <w:gridCol w:w="360"/>
        <w:gridCol w:w="142"/>
        <w:gridCol w:w="476"/>
        <w:gridCol w:w="142"/>
      </w:tblGrid>
      <w:tr>
        <w:tblPrEx>
          <w:tblLayout w:type="fixed"/>
          <w:tblCellMar>
            <w:top w:w="0" w:type="dxa"/>
            <w:left w:w="0" w:type="dxa"/>
            <w:bottom w:w="0" w:type="dxa"/>
            <w:right w:w="0" w:type="dxa"/>
          </w:tblCellMar>
          <w:tblLook w:val="0000"/>
        </w:tblPrEx>
        <w:trPr>
          <w:trHeight w:val="495"/>
        </w:trPr>
        <w:tc>
          <w:tcPr>
            <w:tcW w:w="10628" w:type="dxa"/>
            <w:gridSpan w:val="19"/>
            <w:tcBorders>
              <w:top w:val="nil"/>
              <w:left w:val="nil"/>
              <w:bottom w:val="nil"/>
              <w:right w:val="nil"/>
            </w:tcBorders>
            <w:shd w:val="clear" w:color="auto" w:fill="FFFFFF"/>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仿宋_GB2312" w:eastAsia="仿宋_GB2312" w:hAnsi="方正小标宋_GBK" w:cs="方正小标宋_GBK" w:hint="eastAsia"/>
                <w:b/>
                <w:color w:val="000000"/>
                <w:kern w:val="0"/>
                <w:sz w:val="30"/>
                <w:szCs w:val="30"/>
                <w:lang w:bidi="ar"/>
              </w:rPr>
              <w:t>国有资产占有使用情况表</w:t>
            </w:r>
          </w:p>
        </w:tc>
        <w:tc>
          <w:tcPr>
            <w:tcW w:w="142" w:type="dxa"/>
            <w:tcBorders>
              <w:top w:val="nil"/>
              <w:left w:val="nil"/>
              <w:bottom w:val="nil"/>
              <w:right w:val="nil"/>
            </w:tcBorders>
            <w:vAlign w:val="center"/>
          </w:tcPr>
          <w:p>
            <w:pPr>
              <w:widowControl/>
              <w:jc w:val="left"/>
              <w:rPr>
                <w:rFonts w:ascii="宋体" w:hAnsi="宋体" w:cs="宋体"/>
                <w:color w:val="000000"/>
                <w:kern w:val="0"/>
                <w:sz w:val="17"/>
                <w:szCs w:val="17"/>
              </w:rPr>
            </w:pPr>
          </w:p>
        </w:tc>
      </w:tr>
      <w:tr>
        <w:tblPrEx>
          <w:tblLayout w:type="fixed"/>
          <w:tblCellMar>
            <w:top w:w="0" w:type="dxa"/>
            <w:left w:w="0" w:type="dxa"/>
            <w:bottom w:w="0" w:type="dxa"/>
            <w:right w:w="0" w:type="dxa"/>
          </w:tblCellMar>
          <w:tblLook w:val="0000"/>
        </w:tblPrEx>
        <w:trPr>
          <w:trHeight w:val="347"/>
        </w:trPr>
        <w:tc>
          <w:tcPr>
            <w:tcW w:w="4680" w:type="dxa"/>
            <w:gridSpan w:val="8"/>
            <w:tcBorders>
              <w:top w:val="nil"/>
              <w:left w:val="nil"/>
              <w:bottom w:val="single" w:sz="4" w:space="0" w:color="808080"/>
              <w:right w:val="nil"/>
            </w:tcBorders>
            <w:shd w:val="clear" w:color="auto" w:fill="FFFFFF"/>
            <w:tcMar>
              <w:top w:w="15" w:type="dxa"/>
              <w:left w:w="15" w:type="dxa"/>
              <w:bottom w:w="15" w:type="dxa"/>
              <w:right w:w="15" w:type="dxa"/>
            </w:tcMar>
            <w:vAlign w:val="center"/>
          </w:tcPr>
          <w:p>
            <w:pPr>
              <w:widowControl/>
              <w:jc w:val="left"/>
              <w:textAlignment w:val="center"/>
              <w:rPr>
                <w:rFonts w:ascii="宋体" w:hAnsi="宋体" w:cs="宋体"/>
                <w:color w:val="000000"/>
                <w:kern w:val="0"/>
                <w:sz w:val="24"/>
                <w:szCs w:val="24"/>
              </w:rPr>
            </w:pPr>
            <w:r>
              <w:rPr>
                <w:rFonts w:ascii="宋体" w:hAnsi="宋体" w:cs="宋体" w:hint="eastAsia"/>
                <w:color w:val="000000"/>
                <w:kern w:val="0"/>
                <w:sz w:val="20"/>
                <w:szCs w:val="20"/>
              </w:rPr>
              <w:t> </w:t>
            </w:r>
          </w:p>
        </w:tc>
        <w:tc>
          <w:tcPr>
            <w:tcW w:w="865" w:type="dxa"/>
            <w:tcBorders>
              <w:top w:val="nil"/>
              <w:left w:val="nil"/>
              <w:bottom w:val="single" w:sz="4" w:space="0" w:color="808080"/>
              <w:right w:val="nil"/>
            </w:tcBorders>
            <w:shd w:val="clear" w:color="auto" w:fill="FFFFFF"/>
            <w:tcMar>
              <w:top w:w="15" w:type="dxa"/>
              <w:left w:w="15" w:type="dxa"/>
              <w:bottom w:w="15" w:type="dxa"/>
              <w:right w:w="15" w:type="dxa"/>
            </w:tcMar>
            <w:vAlign w:val="center"/>
          </w:tcPr>
          <w:p>
            <w:pPr>
              <w:widowControl/>
              <w:jc w:val="left"/>
              <w:rPr>
                <w:rFonts w:ascii="宋体" w:hAnsi="宋体" w:cs="宋体"/>
                <w:color w:val="000000"/>
                <w:kern w:val="0"/>
                <w:sz w:val="24"/>
                <w:szCs w:val="24"/>
              </w:rPr>
            </w:pPr>
            <w:r>
              <w:rPr>
                <w:rFonts w:ascii="宋体" w:hAnsi="宋体" w:cs="宋体" w:hint="eastAsia"/>
                <w:color w:val="000000"/>
                <w:kern w:val="0"/>
                <w:sz w:val="20"/>
                <w:szCs w:val="20"/>
              </w:rPr>
              <w:t> </w:t>
            </w:r>
          </w:p>
        </w:tc>
        <w:tc>
          <w:tcPr>
            <w:tcW w:w="974" w:type="dxa"/>
            <w:gridSpan w:val="2"/>
            <w:tcBorders>
              <w:top w:val="nil"/>
              <w:left w:val="nil"/>
              <w:bottom w:val="single" w:sz="4" w:space="0" w:color="808080"/>
              <w:right w:val="nil"/>
            </w:tcBorders>
            <w:shd w:val="clear" w:color="auto" w:fill="FFFFFF"/>
            <w:tcMar>
              <w:top w:w="15" w:type="dxa"/>
              <w:left w:w="15" w:type="dxa"/>
              <w:bottom w:w="15" w:type="dxa"/>
              <w:right w:w="15" w:type="dxa"/>
            </w:tcMar>
            <w:vAlign w:val="center"/>
          </w:tcPr>
          <w:p>
            <w:pPr>
              <w:widowControl/>
              <w:jc w:val="left"/>
              <w:rPr>
                <w:rFonts w:ascii="宋体" w:hAnsi="宋体" w:cs="宋体"/>
                <w:color w:val="000000"/>
                <w:kern w:val="0"/>
                <w:sz w:val="24"/>
                <w:szCs w:val="24"/>
              </w:rPr>
            </w:pPr>
            <w:r>
              <w:rPr>
                <w:rFonts w:ascii="宋体" w:hAnsi="宋体" w:cs="宋体" w:hint="eastAsia"/>
                <w:color w:val="000000"/>
                <w:kern w:val="0"/>
                <w:sz w:val="20"/>
                <w:szCs w:val="20"/>
              </w:rPr>
              <w:t> </w:t>
            </w:r>
          </w:p>
        </w:tc>
        <w:tc>
          <w:tcPr>
            <w:tcW w:w="196" w:type="dxa"/>
            <w:tcBorders>
              <w:top w:val="nil"/>
              <w:left w:val="nil"/>
              <w:bottom w:val="single" w:sz="4" w:space="0" w:color="808080"/>
              <w:right w:val="nil"/>
            </w:tcBorders>
            <w:shd w:val="clear" w:color="auto" w:fill="FFFFFF"/>
            <w:tcMar>
              <w:top w:w="15" w:type="dxa"/>
              <w:left w:w="15" w:type="dxa"/>
              <w:bottom w:w="15" w:type="dxa"/>
              <w:right w:w="15" w:type="dxa"/>
            </w:tcMar>
            <w:vAlign w:val="center"/>
          </w:tcPr>
          <w:p>
            <w:pPr>
              <w:widowControl/>
              <w:jc w:val="left"/>
              <w:rPr>
                <w:rFonts w:ascii="宋体" w:hAnsi="宋体" w:cs="宋体"/>
                <w:color w:val="000000"/>
                <w:kern w:val="0"/>
                <w:sz w:val="24"/>
                <w:szCs w:val="24"/>
              </w:rPr>
            </w:pPr>
            <w:r>
              <w:rPr>
                <w:rFonts w:ascii="宋体" w:hAnsi="宋体" w:cs="宋体" w:hint="eastAsia"/>
                <w:color w:val="000000"/>
                <w:kern w:val="0"/>
                <w:sz w:val="20"/>
                <w:szCs w:val="20"/>
              </w:rPr>
              <w:t> </w:t>
            </w:r>
          </w:p>
        </w:tc>
        <w:tc>
          <w:tcPr>
            <w:tcW w:w="978" w:type="dxa"/>
            <w:tcBorders>
              <w:top w:val="nil"/>
              <w:left w:val="nil"/>
              <w:bottom w:val="single" w:sz="4" w:space="0" w:color="808080"/>
              <w:right w:val="nil"/>
            </w:tcBorders>
            <w:shd w:val="clear" w:color="auto" w:fill="FFFFFF"/>
            <w:tcMar>
              <w:top w:w="15" w:type="dxa"/>
              <w:left w:w="15" w:type="dxa"/>
              <w:bottom w:w="15" w:type="dxa"/>
              <w:right w:w="15" w:type="dxa"/>
            </w:tcMar>
            <w:vAlign w:val="center"/>
          </w:tcPr>
          <w:p>
            <w:pPr>
              <w:widowControl/>
              <w:jc w:val="left"/>
              <w:rPr>
                <w:rFonts w:ascii="宋体" w:hAnsi="宋体" w:cs="宋体"/>
                <w:color w:val="000000"/>
                <w:kern w:val="0"/>
                <w:sz w:val="24"/>
                <w:szCs w:val="24"/>
              </w:rPr>
            </w:pPr>
            <w:r>
              <w:rPr>
                <w:rFonts w:ascii="宋体" w:hAnsi="宋体" w:cs="宋体" w:hint="eastAsia"/>
                <w:color w:val="000000"/>
                <w:kern w:val="0"/>
                <w:sz w:val="20"/>
                <w:szCs w:val="20"/>
              </w:rPr>
              <w:t> </w:t>
            </w:r>
          </w:p>
        </w:tc>
        <w:tc>
          <w:tcPr>
            <w:tcW w:w="979" w:type="dxa"/>
            <w:tcBorders>
              <w:top w:val="nil"/>
              <w:left w:val="nil"/>
              <w:bottom w:val="single" w:sz="4" w:space="0" w:color="808080"/>
              <w:right w:val="nil"/>
            </w:tcBorders>
            <w:shd w:val="clear" w:color="auto" w:fill="FFFFFF"/>
            <w:tcMar>
              <w:top w:w="15" w:type="dxa"/>
              <w:left w:w="15" w:type="dxa"/>
              <w:bottom w:w="15" w:type="dxa"/>
              <w:right w:w="15" w:type="dxa"/>
            </w:tcMar>
            <w:vAlign w:val="center"/>
          </w:tcPr>
          <w:p>
            <w:pPr>
              <w:widowControl/>
              <w:jc w:val="left"/>
              <w:rPr>
                <w:rFonts w:ascii="宋体" w:hAnsi="宋体" w:cs="宋体"/>
                <w:color w:val="000000"/>
                <w:kern w:val="0"/>
                <w:sz w:val="24"/>
                <w:szCs w:val="24"/>
              </w:rPr>
            </w:pPr>
            <w:r>
              <w:rPr>
                <w:rFonts w:ascii="宋体" w:hAnsi="宋体" w:cs="宋体" w:hint="eastAsia"/>
                <w:color w:val="000000"/>
                <w:kern w:val="0"/>
                <w:sz w:val="20"/>
                <w:szCs w:val="20"/>
              </w:rPr>
              <w:t> </w:t>
            </w:r>
          </w:p>
        </w:tc>
        <w:tc>
          <w:tcPr>
            <w:tcW w:w="1956" w:type="dxa"/>
            <w:gridSpan w:val="5"/>
            <w:tcBorders>
              <w:top w:val="nil"/>
              <w:left w:val="nil"/>
              <w:bottom w:val="single" w:sz="4" w:space="0" w:color="808080"/>
              <w:right w:val="nil"/>
            </w:tcBorders>
            <w:shd w:val="clear" w:color="auto" w:fill="FFFFFF"/>
            <w:tcMar>
              <w:top w:w="15" w:type="dxa"/>
              <w:left w:w="15" w:type="dxa"/>
              <w:bottom w:w="15" w:type="dxa"/>
              <w:right w:w="15" w:type="dxa"/>
            </w:tcMar>
            <w:vAlign w:val="center"/>
          </w:tcPr>
          <w:p>
            <w:pPr>
              <w:widowControl/>
              <w:jc w:val="right"/>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单位：万元</w:t>
            </w:r>
          </w:p>
        </w:tc>
        <w:tc>
          <w:tcPr>
            <w:tcW w:w="142" w:type="dxa"/>
            <w:tcBorders>
              <w:top w:val="nil"/>
              <w:left w:val="nil"/>
              <w:bottom w:val="nil"/>
              <w:right w:val="nil"/>
            </w:tcBorders>
            <w:vAlign w:val="center"/>
          </w:tcPr>
          <w:p>
            <w:pPr>
              <w:widowControl/>
              <w:jc w:val="left"/>
              <w:rPr>
                <w:rFonts w:ascii="宋体" w:hAnsi="宋体" w:cs="宋体"/>
                <w:color w:val="000000"/>
                <w:kern w:val="0"/>
                <w:sz w:val="17"/>
                <w:szCs w:val="17"/>
              </w:rPr>
            </w:pPr>
          </w:p>
        </w:tc>
      </w:tr>
      <w:tr>
        <w:tblPrEx>
          <w:tblLayout w:type="fixed"/>
          <w:tblCellMar>
            <w:top w:w="0" w:type="dxa"/>
            <w:left w:w="0" w:type="dxa"/>
            <w:bottom w:w="0" w:type="dxa"/>
            <w:right w:w="0" w:type="dxa"/>
          </w:tblCellMar>
          <w:tblLook w:val="0000"/>
        </w:tblPrEx>
        <w:trPr>
          <w:trHeight w:val="415"/>
        </w:trPr>
        <w:tc>
          <w:tcPr>
            <w:tcW w:w="48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项目</w:t>
            </w:r>
          </w:p>
        </w:tc>
        <w:tc>
          <w:tcPr>
            <w:tcW w:w="33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行次</w:t>
            </w:r>
          </w:p>
        </w:tc>
        <w:tc>
          <w:tcPr>
            <w:tcW w:w="79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资产总额</w:t>
            </w:r>
          </w:p>
        </w:tc>
        <w:tc>
          <w:tcPr>
            <w:tcW w:w="73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流动资产</w:t>
            </w:r>
          </w:p>
        </w:tc>
        <w:tc>
          <w:tcPr>
            <w:tcW w:w="4370" w:type="dxa"/>
            <w:gridSpan w:val="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固定资产</w:t>
            </w:r>
          </w:p>
        </w:tc>
        <w:tc>
          <w:tcPr>
            <w:tcW w:w="9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对外投资/有价证券</w:t>
            </w:r>
          </w:p>
        </w:tc>
        <w:tc>
          <w:tcPr>
            <w:tcW w:w="97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在建工程</w:t>
            </w:r>
          </w:p>
        </w:tc>
        <w:tc>
          <w:tcPr>
            <w:tcW w:w="978" w:type="dxa"/>
            <w:gridSpan w:val="2"/>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无形资产</w:t>
            </w:r>
          </w:p>
        </w:tc>
        <w:tc>
          <w:tcPr>
            <w:tcW w:w="978" w:type="dxa"/>
            <w:gridSpan w:val="3"/>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其他资产</w:t>
            </w:r>
          </w:p>
        </w:tc>
        <w:tc>
          <w:tcPr>
            <w:tcW w:w="142" w:type="dxa"/>
            <w:tcBorders>
              <w:top w:val="nil"/>
              <w:left w:val="nil"/>
              <w:bottom w:val="nil"/>
              <w:right w:val="nil"/>
            </w:tcBorders>
            <w:vAlign w:val="center"/>
          </w:tcPr>
          <w:p>
            <w:pPr>
              <w:widowControl/>
              <w:jc w:val="left"/>
              <w:rPr>
                <w:rFonts w:ascii="宋体" w:hAnsi="宋体" w:cs="宋体"/>
                <w:color w:val="000000"/>
                <w:kern w:val="0"/>
                <w:sz w:val="17"/>
                <w:szCs w:val="17"/>
              </w:rPr>
            </w:pPr>
          </w:p>
        </w:tc>
      </w:tr>
      <w:tr>
        <w:tblPrEx>
          <w:tblLayout w:type="fixed"/>
          <w:tblCellMar>
            <w:top w:w="0" w:type="dxa"/>
            <w:left w:w="0" w:type="dxa"/>
            <w:bottom w:w="0" w:type="dxa"/>
            <w:right w:w="0" w:type="dxa"/>
          </w:tblCellMar>
          <w:tblLook w:val="0000"/>
        </w:tblPrEx>
        <w:trPr>
          <w:trHeight w:val="345"/>
        </w:trPr>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77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小计</w:t>
            </w:r>
          </w:p>
        </w:tc>
        <w:tc>
          <w:tcPr>
            <w:tcW w:w="72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房屋构筑物</w:t>
            </w:r>
          </w:p>
        </w:tc>
        <w:tc>
          <w:tcPr>
            <w:tcW w:w="76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车辆</w:t>
            </w:r>
          </w:p>
        </w:tc>
        <w:tc>
          <w:tcPr>
            <w:tcW w:w="1263"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单价200万以上大型设备</w:t>
            </w:r>
          </w:p>
        </w:tc>
        <w:tc>
          <w:tcPr>
            <w:tcW w:w="83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其他固定资产</w:t>
            </w: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gridSpan w:val="2"/>
            <w:vMerge/>
            <w:tcBorders>
              <w:top w:val="nil"/>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gridSpan w:val="3"/>
            <w:vMerge/>
            <w:tcBorders>
              <w:top w:val="nil"/>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142" w:type="dxa"/>
            <w:tcBorders>
              <w:top w:val="nil"/>
              <w:left w:val="nil"/>
              <w:bottom w:val="nil"/>
              <w:right w:val="nil"/>
            </w:tcBorders>
            <w:vAlign w:val="center"/>
          </w:tcPr>
          <w:p>
            <w:pPr>
              <w:widowControl/>
              <w:jc w:val="left"/>
              <w:rPr>
                <w:rFonts w:ascii="宋体" w:hAnsi="宋体" w:cs="宋体"/>
                <w:color w:val="000000"/>
                <w:kern w:val="0"/>
                <w:sz w:val="17"/>
                <w:szCs w:val="17"/>
              </w:rPr>
            </w:pPr>
          </w:p>
        </w:tc>
      </w:tr>
      <w:tr>
        <w:tblPrEx>
          <w:tblLayout w:type="fixed"/>
          <w:tblCellMar>
            <w:top w:w="0" w:type="dxa"/>
            <w:left w:w="0" w:type="dxa"/>
            <w:bottom w:w="0" w:type="dxa"/>
            <w:right w:w="0" w:type="dxa"/>
          </w:tblCellMar>
          <w:tblLook w:val="0000"/>
        </w:tblPrEx>
        <w:trPr>
          <w:trHeight w:val="395"/>
        </w:trPr>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gridSpan w:val="3"/>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gridSpan w:val="2"/>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vMerge/>
            <w:tcBorders>
              <w:top w:val="single" w:sz="4" w:space="0" w:color="000000"/>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gridSpan w:val="2"/>
            <w:vMerge/>
            <w:tcBorders>
              <w:top w:val="nil"/>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0" w:type="dxa"/>
            <w:gridSpan w:val="3"/>
            <w:vMerge/>
            <w:tcBorders>
              <w:top w:val="nil"/>
              <w:left w:val="single" w:sz="4" w:space="0" w:color="000000"/>
              <w:bottom w:val="single" w:sz="4" w:space="0" w:color="000000"/>
              <w:right w:val="single" w:sz="4" w:space="0" w:color="000000"/>
            </w:tcBorders>
            <w:vAlign w:val="center"/>
          </w:tcPr>
          <w:p>
            <w:pPr>
              <w:widowControl/>
              <w:jc w:val="left"/>
              <w:rPr>
                <w:rFonts w:ascii="宋体" w:hAnsi="宋体" w:cs="宋体"/>
                <w:color w:val="000000"/>
                <w:kern w:val="0"/>
                <w:sz w:val="24"/>
                <w:szCs w:val="24"/>
              </w:rPr>
            </w:pPr>
          </w:p>
        </w:tc>
        <w:tc>
          <w:tcPr>
            <w:tcW w:w="142" w:type="dxa"/>
            <w:tcBorders>
              <w:top w:val="nil"/>
              <w:left w:val="nil"/>
              <w:bottom w:val="nil"/>
              <w:right w:val="nil"/>
            </w:tcBorders>
            <w:vAlign w:val="center"/>
          </w:tcPr>
          <w:p>
            <w:pPr>
              <w:widowControl/>
              <w:jc w:val="left"/>
              <w:rPr>
                <w:rFonts w:ascii="宋体" w:hAnsi="宋体" w:cs="宋体"/>
                <w:color w:val="000000"/>
                <w:kern w:val="0"/>
                <w:sz w:val="17"/>
                <w:szCs w:val="17"/>
              </w:rPr>
            </w:pPr>
          </w:p>
        </w:tc>
      </w:tr>
      <w:tr>
        <w:tblPrEx>
          <w:tblLayout w:type="fixed"/>
          <w:tblCellMar>
            <w:top w:w="0" w:type="dxa"/>
            <w:left w:w="0" w:type="dxa"/>
            <w:bottom w:w="0" w:type="dxa"/>
            <w:right w:w="0" w:type="dxa"/>
          </w:tblCellMar>
          <w:tblLook w:val="0000"/>
        </w:tblPrEx>
        <w:trPr>
          <w:trHeight w:val="358"/>
        </w:trPr>
        <w:tc>
          <w:tcPr>
            <w:tcW w:w="4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栏次</w:t>
            </w:r>
          </w:p>
        </w:tc>
        <w:tc>
          <w:tcPr>
            <w:tcW w:w="3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left"/>
              <w:rPr>
                <w:rFonts w:ascii="宋体" w:hAnsi="宋体" w:cs="宋体"/>
                <w:color w:val="000000"/>
                <w:kern w:val="0"/>
                <w:sz w:val="24"/>
                <w:szCs w:val="24"/>
              </w:rPr>
            </w:pPr>
            <w:r>
              <w:rPr>
                <w:rFonts w:ascii="宋体" w:hAnsi="宋体" w:cs="宋体" w:hint="eastAsia"/>
                <w:color w:val="000000"/>
                <w:kern w:val="0"/>
                <w:sz w:val="20"/>
                <w:szCs w:val="20"/>
              </w:rPr>
              <w:t> </w:t>
            </w:r>
          </w:p>
        </w:tc>
        <w:tc>
          <w:tcPr>
            <w:tcW w:w="7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1</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2</w:t>
            </w:r>
          </w:p>
        </w:tc>
        <w:tc>
          <w:tcPr>
            <w:tcW w:w="7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3</w:t>
            </w:r>
          </w:p>
        </w:tc>
        <w:tc>
          <w:tcPr>
            <w:tcW w:w="7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4</w:t>
            </w:r>
          </w:p>
        </w:tc>
        <w:tc>
          <w:tcPr>
            <w:tcW w:w="7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5</w:t>
            </w:r>
          </w:p>
        </w:tc>
        <w:tc>
          <w:tcPr>
            <w:tcW w:w="126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6</w:t>
            </w:r>
          </w:p>
        </w:tc>
        <w:tc>
          <w:tcPr>
            <w:tcW w:w="83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7</w:t>
            </w:r>
          </w:p>
        </w:tc>
        <w:tc>
          <w:tcPr>
            <w:tcW w:w="9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8</w:t>
            </w:r>
          </w:p>
        </w:tc>
        <w:tc>
          <w:tcPr>
            <w:tcW w:w="97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9</w:t>
            </w:r>
          </w:p>
        </w:tc>
        <w:tc>
          <w:tcPr>
            <w:tcW w:w="97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10</w:t>
            </w:r>
          </w:p>
        </w:tc>
        <w:tc>
          <w:tcPr>
            <w:tcW w:w="9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11</w:t>
            </w:r>
          </w:p>
        </w:tc>
        <w:tc>
          <w:tcPr>
            <w:tcW w:w="142" w:type="dxa"/>
            <w:tcBorders>
              <w:top w:val="nil"/>
              <w:left w:val="nil"/>
              <w:bottom w:val="nil"/>
              <w:right w:val="nil"/>
            </w:tcBorders>
            <w:vAlign w:val="center"/>
          </w:tcPr>
          <w:p>
            <w:pPr>
              <w:widowControl/>
              <w:jc w:val="left"/>
              <w:rPr>
                <w:rFonts w:ascii="宋体" w:hAnsi="宋体" w:cs="宋体"/>
                <w:color w:val="000000"/>
                <w:kern w:val="0"/>
                <w:sz w:val="17"/>
                <w:szCs w:val="17"/>
              </w:rPr>
            </w:pPr>
          </w:p>
        </w:tc>
      </w:tr>
      <w:tr>
        <w:tblPrEx>
          <w:tblLayout w:type="fixed"/>
          <w:tblCellMar>
            <w:top w:w="0" w:type="dxa"/>
            <w:left w:w="0" w:type="dxa"/>
            <w:bottom w:w="0" w:type="dxa"/>
            <w:right w:w="0" w:type="dxa"/>
          </w:tblCellMar>
          <w:tblLook w:val="0000"/>
        </w:tblPrEx>
        <w:trPr>
          <w:trHeight w:val="563"/>
        </w:trPr>
        <w:tc>
          <w:tcPr>
            <w:tcW w:w="4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合计</w:t>
            </w:r>
          </w:p>
        </w:tc>
        <w:tc>
          <w:tcPr>
            <w:tcW w:w="3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center"/>
              <w:textAlignment w:val="center"/>
              <w:rPr>
                <w:rFonts w:ascii="宋体" w:hAnsi="宋体" w:cs="宋体"/>
                <w:color w:val="000000"/>
                <w:kern w:val="0"/>
                <w:sz w:val="24"/>
                <w:szCs w:val="24"/>
              </w:rPr>
            </w:pPr>
            <w:r>
              <w:rPr>
                <w:rFonts w:ascii="宋体" w:hAnsi="宋体" w:cs="宋体" w:hint="eastAsia"/>
                <w:color w:val="000000"/>
                <w:kern w:val="0"/>
                <w:sz w:val="20"/>
                <w:szCs w:val="20"/>
                <w:lang w:bidi="ar"/>
              </w:rPr>
              <w:t>1</w:t>
            </w:r>
          </w:p>
        </w:tc>
        <w:tc>
          <w:tcPr>
            <w:tcW w:w="79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lang w:val="en-US" w:eastAsia="zh-CN"/>
              </w:rPr>
              <w:t>3365.95</w:t>
            </w:r>
            <w:r>
              <w:rPr>
                <w:rFonts w:ascii="宋体" w:hAnsi="宋体" w:cs="宋体" w:hint="eastAsia"/>
                <w:color w:val="000000"/>
                <w:kern w:val="0"/>
                <w:sz w:val="20"/>
                <w:szCs w:val="20"/>
              </w:rPr>
              <w:t> </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lang w:val="en-US" w:eastAsia="zh-CN"/>
              </w:rPr>
              <w:t>1865.5</w:t>
            </w:r>
            <w:r>
              <w:rPr>
                <w:rFonts w:ascii="宋体" w:hAnsi="宋体" w:cs="宋体" w:hint="eastAsia"/>
                <w:color w:val="000000"/>
                <w:kern w:val="0"/>
                <w:sz w:val="20"/>
                <w:szCs w:val="20"/>
              </w:rPr>
              <w:t> </w:t>
            </w:r>
          </w:p>
        </w:tc>
        <w:tc>
          <w:tcPr>
            <w:tcW w:w="7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lang w:val="en-US" w:eastAsia="zh-CN"/>
              </w:rPr>
              <w:t>1500.45</w:t>
            </w:r>
            <w:r>
              <w:rPr>
                <w:rFonts w:ascii="宋体" w:hAnsi="宋体" w:cs="宋体" w:hint="eastAsia"/>
                <w:color w:val="000000"/>
                <w:kern w:val="0"/>
                <w:sz w:val="20"/>
                <w:szCs w:val="20"/>
              </w:rPr>
              <w:t> </w:t>
            </w:r>
          </w:p>
        </w:tc>
        <w:tc>
          <w:tcPr>
            <w:tcW w:w="7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lang w:val="en-US" w:eastAsia="zh-CN"/>
              </w:rPr>
              <w:t>786.89</w:t>
            </w:r>
            <w:r>
              <w:rPr>
                <w:rFonts w:ascii="宋体" w:hAnsi="宋体" w:cs="宋体" w:hint="eastAsia"/>
                <w:color w:val="000000"/>
                <w:kern w:val="0"/>
                <w:sz w:val="20"/>
                <w:szCs w:val="20"/>
              </w:rPr>
              <w:t> </w:t>
            </w:r>
          </w:p>
        </w:tc>
        <w:tc>
          <w:tcPr>
            <w:tcW w:w="7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lang w:val="en-US" w:eastAsia="zh-CN"/>
              </w:rPr>
              <w:t>214.94</w:t>
            </w:r>
            <w:r>
              <w:rPr>
                <w:rFonts w:ascii="宋体" w:hAnsi="宋体" w:cs="宋体" w:hint="eastAsia"/>
                <w:color w:val="000000"/>
                <w:kern w:val="0"/>
                <w:sz w:val="20"/>
                <w:szCs w:val="20"/>
              </w:rPr>
              <w:t> </w:t>
            </w:r>
          </w:p>
        </w:tc>
        <w:tc>
          <w:tcPr>
            <w:tcW w:w="126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rPr>
              <w:t> </w:t>
            </w:r>
          </w:p>
        </w:tc>
        <w:tc>
          <w:tcPr>
            <w:tcW w:w="83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lang w:val="en-US" w:eastAsia="zh-CN"/>
              </w:rPr>
              <w:t>498.62</w:t>
            </w:r>
            <w:r>
              <w:rPr>
                <w:rFonts w:ascii="宋体" w:hAnsi="宋体" w:cs="宋体" w:hint="eastAsia"/>
                <w:color w:val="000000"/>
                <w:kern w:val="0"/>
                <w:sz w:val="20"/>
                <w:szCs w:val="20"/>
              </w:rPr>
              <w:t> </w:t>
            </w:r>
          </w:p>
        </w:tc>
        <w:tc>
          <w:tcPr>
            <w:tcW w:w="9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rPr>
              <w:t> </w:t>
            </w:r>
          </w:p>
        </w:tc>
        <w:tc>
          <w:tcPr>
            <w:tcW w:w="97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rPr>
              <w:t> </w:t>
            </w:r>
          </w:p>
        </w:tc>
        <w:tc>
          <w:tcPr>
            <w:tcW w:w="97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rPr>
              <w:t> </w:t>
            </w:r>
          </w:p>
        </w:tc>
        <w:tc>
          <w:tcPr>
            <w:tcW w:w="9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pPr>
              <w:widowControl/>
              <w:jc w:val="right"/>
              <w:rPr>
                <w:rFonts w:ascii="宋体" w:hAnsi="宋体" w:cs="宋体"/>
                <w:color w:val="000000"/>
                <w:kern w:val="0"/>
                <w:sz w:val="24"/>
                <w:szCs w:val="24"/>
              </w:rPr>
            </w:pPr>
            <w:r>
              <w:rPr>
                <w:rFonts w:ascii="宋体" w:hAnsi="宋体" w:cs="宋体" w:hint="eastAsia"/>
                <w:color w:val="000000"/>
                <w:kern w:val="0"/>
                <w:sz w:val="20"/>
                <w:szCs w:val="20"/>
              </w:rPr>
              <w:t> </w:t>
            </w:r>
          </w:p>
        </w:tc>
        <w:tc>
          <w:tcPr>
            <w:tcW w:w="142" w:type="dxa"/>
            <w:tcBorders>
              <w:top w:val="nil"/>
              <w:left w:val="nil"/>
              <w:bottom w:val="nil"/>
              <w:right w:val="nil"/>
            </w:tcBorders>
            <w:vAlign w:val="center"/>
          </w:tcPr>
          <w:p>
            <w:pPr>
              <w:widowControl/>
              <w:jc w:val="left"/>
              <w:rPr>
                <w:rFonts w:ascii="宋体" w:hAnsi="宋体" w:cs="宋体"/>
                <w:color w:val="000000"/>
                <w:kern w:val="0"/>
                <w:sz w:val="17"/>
                <w:szCs w:val="17"/>
              </w:rPr>
            </w:pPr>
          </w:p>
        </w:tc>
      </w:tr>
      <w:tr>
        <w:tblPrEx>
          <w:tblLayout w:type="fixed"/>
          <w:tblCellMar>
            <w:top w:w="0" w:type="dxa"/>
            <w:left w:w="0" w:type="dxa"/>
            <w:bottom w:w="0" w:type="dxa"/>
            <w:right w:w="0" w:type="dxa"/>
          </w:tblCellMar>
          <w:tblLook w:val="0000"/>
        </w:tblPrEx>
        <w:trPr>
          <w:gridAfter w:val="2"/>
          <w:wAfter w:w="618" w:type="dxa"/>
          <w:trHeight w:val="259"/>
        </w:trPr>
        <w:tc>
          <w:tcPr>
            <w:tcW w:w="8672" w:type="dxa"/>
            <w:gridSpan w:val="14"/>
            <w:tcBorders>
              <w:top w:val="nil"/>
              <w:left w:val="nil"/>
              <w:bottom w:val="nil"/>
              <w:right w:val="nil"/>
            </w:tcBorders>
            <w:tcMar>
              <w:top w:w="15" w:type="dxa"/>
              <w:left w:w="15" w:type="dxa"/>
              <w:bottom w:w="15" w:type="dxa"/>
              <w:right w:w="15" w:type="dxa"/>
            </w:tcMar>
            <w:vAlign w:val="bottom"/>
          </w:tcPr>
          <w:p>
            <w:pPr>
              <w:widowControl/>
              <w:rPr>
                <w:rFonts w:ascii="宋体" w:hAnsi="宋体" w:cs="宋体"/>
                <w:color w:val="000000"/>
                <w:kern w:val="0"/>
                <w:sz w:val="24"/>
                <w:szCs w:val="24"/>
              </w:rPr>
            </w:pPr>
          </w:p>
        </w:tc>
        <w:tc>
          <w:tcPr>
            <w:tcW w:w="360" w:type="dxa"/>
            <w:tcBorders>
              <w:top w:val="nil"/>
              <w:left w:val="nil"/>
              <w:bottom w:val="nil"/>
              <w:right w:val="nil"/>
            </w:tcBorders>
            <w:tcMar>
              <w:top w:w="15" w:type="dxa"/>
              <w:left w:w="15" w:type="dxa"/>
              <w:bottom w:w="15" w:type="dxa"/>
              <w:right w:w="15" w:type="dxa"/>
            </w:tcMar>
            <w:vAlign w:val="bottom"/>
          </w:tcPr>
          <w:p>
            <w:pPr>
              <w:widowControl/>
              <w:rPr>
                <w:rFonts w:ascii="宋体" w:hAnsi="宋体" w:cs="宋体"/>
                <w:color w:val="000000"/>
                <w:kern w:val="0"/>
                <w:sz w:val="20"/>
                <w:lang w:bidi="ar"/>
              </w:rPr>
            </w:pPr>
          </w:p>
        </w:tc>
        <w:tc>
          <w:tcPr>
            <w:tcW w:w="978" w:type="dxa"/>
            <w:gridSpan w:val="2"/>
            <w:tcBorders>
              <w:top w:val="nil"/>
              <w:left w:val="nil"/>
              <w:bottom w:val="nil"/>
              <w:right w:val="nil"/>
            </w:tcBorders>
            <w:tcMar>
              <w:top w:w="15" w:type="dxa"/>
              <w:left w:w="15" w:type="dxa"/>
              <w:bottom w:w="15" w:type="dxa"/>
              <w:right w:w="15" w:type="dxa"/>
            </w:tcMar>
            <w:vAlign w:val="bottom"/>
          </w:tcPr>
          <w:p>
            <w:pPr>
              <w:widowControl/>
              <w:jc w:val="left"/>
              <w:rPr>
                <w:rFonts w:ascii="宋体" w:hAnsi="宋体" w:cs="宋体"/>
                <w:color w:val="000000"/>
                <w:kern w:val="0"/>
                <w:sz w:val="24"/>
                <w:szCs w:val="24"/>
              </w:rPr>
            </w:pPr>
          </w:p>
        </w:tc>
        <w:tc>
          <w:tcPr>
            <w:tcW w:w="142" w:type="dxa"/>
            <w:tcBorders>
              <w:top w:val="nil"/>
              <w:left w:val="nil"/>
              <w:bottom w:val="nil"/>
              <w:right w:val="nil"/>
            </w:tcBorders>
            <w:vAlign w:val="center"/>
          </w:tcPr>
          <w:p>
            <w:pPr>
              <w:widowControl/>
              <w:jc w:val="left"/>
              <w:rPr>
                <w:rFonts w:ascii="宋体" w:hAnsi="宋体" w:cs="宋体"/>
                <w:color w:val="000000"/>
                <w:kern w:val="0"/>
                <w:sz w:val="17"/>
                <w:szCs w:val="17"/>
              </w:rPr>
            </w:pPr>
          </w:p>
        </w:tc>
      </w:tr>
      <w:tr>
        <w:tblPrEx>
          <w:tblLayout w:type="fixed"/>
          <w:tblCellMar>
            <w:top w:w="0" w:type="dxa"/>
            <w:left w:w="0" w:type="dxa"/>
            <w:bottom w:w="0" w:type="dxa"/>
            <w:right w:w="0" w:type="dxa"/>
          </w:tblCellMar>
          <w:tblLook w:val="0000"/>
        </w:tblPrEx>
        <w:trPr>
          <w:trHeight w:val="495"/>
        </w:trPr>
        <w:tc>
          <w:tcPr>
            <w:tcW w:w="9650" w:type="dxa"/>
            <w:gridSpan w:val="16"/>
            <w:tcBorders>
              <w:top w:val="nil"/>
              <w:left w:val="nil"/>
              <w:bottom w:val="nil"/>
              <w:right w:val="nil"/>
            </w:tcBorders>
            <w:tcMar>
              <w:top w:w="15" w:type="dxa"/>
              <w:left w:w="15" w:type="dxa"/>
              <w:bottom w:w="15" w:type="dxa"/>
              <w:right w:w="15" w:type="dxa"/>
            </w:tcMar>
            <w:vAlign w:val="bottom"/>
          </w:tcPr>
          <w:p>
            <w:pPr>
              <w:widowControl/>
              <w:rPr>
                <w:rFonts w:ascii="宋体" w:hAnsi="宋体" w:cs="宋体" w:hint="eastAsia"/>
                <w:color w:val="000000"/>
                <w:kern w:val="0"/>
                <w:sz w:val="20"/>
                <w:szCs w:val="20"/>
              </w:rPr>
            </w:pPr>
            <w:r>
              <w:rPr>
                <w:rFonts w:ascii="宋体" w:hAnsi="宋体" w:cs="宋体" w:hint="eastAsia"/>
                <w:color w:val="000000"/>
                <w:kern w:val="0"/>
                <w:sz w:val="20"/>
                <w:szCs w:val="20"/>
              </w:rPr>
              <w:t>填报说明：1.资产总额＝流动资产＋固定资产＋对外投资／有价证券＋在建工程＋无形资产＋其他资产</w:t>
            </w:r>
          </w:p>
          <w:p>
            <w:pPr>
              <w:widowControl/>
              <w:rPr>
                <w:rFonts w:ascii="宋体" w:hAnsi="宋体" w:cs="宋体"/>
                <w:color w:val="000000"/>
                <w:kern w:val="0"/>
                <w:sz w:val="20"/>
                <w:szCs w:val="20"/>
              </w:rPr>
            </w:pPr>
            <w:r>
              <w:rPr>
                <w:rFonts w:ascii="宋体" w:hAnsi="宋体" w:cs="宋体" w:hint="eastAsia"/>
                <w:color w:val="000000"/>
                <w:kern w:val="0"/>
                <w:sz w:val="20"/>
                <w:szCs w:val="20"/>
              </w:rPr>
              <w:t>2.固定资产＝房屋构筑物＋车辆＋单价200万元以上大型设备＋其他固定资产</w:t>
            </w:r>
          </w:p>
        </w:tc>
        <w:tc>
          <w:tcPr>
            <w:tcW w:w="978" w:type="dxa"/>
            <w:gridSpan w:val="3"/>
            <w:tcBorders>
              <w:top w:val="nil"/>
              <w:left w:val="nil"/>
              <w:bottom w:val="nil"/>
              <w:right w:val="nil"/>
            </w:tcBorders>
            <w:tcMar>
              <w:top w:w="15" w:type="dxa"/>
              <w:left w:w="15" w:type="dxa"/>
              <w:bottom w:w="15" w:type="dxa"/>
              <w:right w:w="15" w:type="dxa"/>
            </w:tcMar>
            <w:vAlign w:val="bottom"/>
          </w:tcPr>
          <w:p>
            <w:pPr>
              <w:widowControl/>
              <w:jc w:val="left"/>
              <w:rPr>
                <w:rFonts w:ascii="宋体" w:hAnsi="宋体" w:cs="宋体"/>
                <w:color w:val="000000"/>
                <w:kern w:val="0"/>
                <w:sz w:val="24"/>
                <w:szCs w:val="24"/>
              </w:rPr>
            </w:pPr>
            <w:r>
              <w:rPr>
                <w:rFonts w:ascii="Arial" w:hAnsi="Arial" w:cs="Arial"/>
                <w:color w:val="000000"/>
                <w:kern w:val="0"/>
                <w:sz w:val="20"/>
                <w:szCs w:val="20"/>
              </w:rPr>
              <w:t> </w:t>
            </w:r>
          </w:p>
        </w:tc>
        <w:tc>
          <w:tcPr>
            <w:tcW w:w="142" w:type="dxa"/>
            <w:vAlign w:val="center"/>
          </w:tcPr>
          <w:p>
            <w:pPr>
              <w:widowControl/>
              <w:jc w:val="left"/>
              <w:rPr>
                <w:rFonts w:ascii="Times New Roman" w:eastAsia="Times New Roman" w:hAnsi="Times New Roman"/>
                <w:kern w:val="0"/>
                <w:sz w:val="20"/>
                <w:szCs w:val="20"/>
              </w:rPr>
            </w:pPr>
          </w:p>
        </w:tc>
      </w:tr>
    </w:tbl>
    <w:p>
      <w:pPr>
        <w:ind w:firstLine="600" w:firstLineChars="200"/>
        <w:jc w:val="left"/>
        <w:rPr>
          <w:rFonts w:ascii="黑体" w:eastAsia="黑体" w:hAnsi="黑体" w:cs="黑体" w:hint="eastAsia"/>
          <w:sz w:val="30"/>
          <w:szCs w:val="30"/>
        </w:rPr>
      </w:pPr>
      <w:r>
        <w:rPr>
          <w:rFonts w:ascii="黑体" w:eastAsia="黑体" w:hAnsi="黑体" w:cs="黑体" w:hint="eastAsia"/>
          <w:sz w:val="30"/>
          <w:szCs w:val="30"/>
          <w:lang w:eastAsia="zh-CN"/>
        </w:rPr>
        <w:t>三、</w:t>
      </w:r>
      <w:r>
        <w:rPr>
          <w:rFonts w:ascii="黑体" w:eastAsia="黑体" w:hAnsi="黑体" w:cs="黑体" w:hint="eastAsia"/>
          <w:sz w:val="30"/>
          <w:szCs w:val="30"/>
        </w:rPr>
        <w:t>政府采购支出情况</w:t>
      </w:r>
    </w:p>
    <w:p>
      <w:pPr>
        <w:ind w:firstLine="600" w:firstLineChars="200"/>
        <w:rPr>
          <w:rFonts w:ascii="仿宋_GB2312" w:eastAsia="仿宋_GB2312" w:hAnsi="仿宋_GB2312" w:cs="仿宋_GB2312" w:hint="eastAsia"/>
          <w:sz w:val="30"/>
          <w:szCs w:val="30"/>
          <w:lang w:val="en-US" w:eastAsia="zh-CN"/>
        </w:rPr>
      </w:pPr>
      <w:r>
        <w:rPr>
          <w:rFonts w:ascii="仿宋_GB2312" w:eastAsia="仿宋_GB2312" w:hAnsi="仿宋_GB2312" w:cs="仿宋_GB2312" w:hint="eastAsia"/>
          <w:sz w:val="30"/>
          <w:szCs w:val="30"/>
        </w:rPr>
        <w:t>201</w:t>
      </w:r>
      <w:r>
        <w:rPr>
          <w:rFonts w:ascii="仿宋_GB2312" w:eastAsia="仿宋_GB2312" w:hAnsi="仿宋_GB2312" w:cs="仿宋_GB2312" w:hint="eastAsia"/>
          <w:sz w:val="30"/>
          <w:szCs w:val="30"/>
          <w:lang w:val="en-US" w:eastAsia="zh-CN"/>
        </w:rPr>
        <w:t>8</w:t>
      </w:r>
      <w:r>
        <w:rPr>
          <w:rFonts w:ascii="仿宋_GB2312" w:eastAsia="仿宋_GB2312" w:hAnsi="仿宋_GB2312" w:cs="仿宋_GB2312" w:hint="eastAsia"/>
          <w:sz w:val="30"/>
          <w:szCs w:val="30"/>
        </w:rPr>
        <w:t>年度，部门政府采购支出总额</w:t>
      </w:r>
      <w:r>
        <w:rPr>
          <w:rFonts w:ascii="仿宋_GB2312" w:eastAsia="仿宋_GB2312" w:hAnsi="仿宋_GB2312" w:cs="仿宋_GB2312" w:hint="eastAsia"/>
          <w:sz w:val="30"/>
          <w:szCs w:val="30"/>
          <w:lang w:val="en-US" w:eastAsia="zh-CN"/>
        </w:rPr>
        <w:t>785.16</w:t>
      </w:r>
      <w:r>
        <w:rPr>
          <w:rFonts w:ascii="仿宋_GB2312" w:eastAsia="仿宋_GB2312" w:hAnsi="仿宋_GB2312" w:cs="仿宋_GB2312" w:hint="eastAsia"/>
          <w:sz w:val="30"/>
          <w:szCs w:val="30"/>
        </w:rPr>
        <w:t>万元，其中：政府采购货物支出</w:t>
      </w:r>
      <w:r>
        <w:rPr>
          <w:rFonts w:ascii="仿宋_GB2312" w:eastAsia="仿宋_GB2312" w:hAnsi="仿宋_GB2312" w:cs="仿宋_GB2312" w:hint="eastAsia"/>
          <w:sz w:val="30"/>
          <w:szCs w:val="30"/>
          <w:lang w:val="en-US" w:eastAsia="zh-CN"/>
        </w:rPr>
        <w:t>784.32</w:t>
      </w:r>
      <w:r>
        <w:rPr>
          <w:rFonts w:ascii="仿宋_GB2312" w:eastAsia="仿宋_GB2312" w:hAnsi="仿宋_GB2312" w:cs="仿宋_GB2312" w:hint="eastAsia"/>
          <w:sz w:val="30"/>
          <w:szCs w:val="30"/>
        </w:rPr>
        <w:t>万元；政府采购工程支出</w:t>
      </w:r>
      <w:r>
        <w:rPr>
          <w:rFonts w:ascii="仿宋_GB2312" w:eastAsia="仿宋_GB2312" w:hAnsi="仿宋_GB2312" w:cs="仿宋_GB2312" w:hint="eastAsia"/>
          <w:sz w:val="30"/>
          <w:szCs w:val="30"/>
          <w:lang w:val="en-US" w:eastAsia="zh-CN"/>
        </w:rPr>
        <w:t>0</w:t>
      </w:r>
      <w:r>
        <w:rPr>
          <w:rFonts w:ascii="仿宋_GB2312" w:eastAsia="仿宋_GB2312" w:hAnsi="仿宋_GB2312" w:cs="仿宋_GB2312" w:hint="eastAsia"/>
          <w:sz w:val="30"/>
          <w:szCs w:val="30"/>
        </w:rPr>
        <w:t>万元；政府采购服务支出</w:t>
      </w:r>
      <w:r>
        <w:rPr>
          <w:rFonts w:ascii="仿宋_GB2312" w:eastAsia="仿宋_GB2312" w:hAnsi="仿宋_GB2312" w:cs="仿宋_GB2312" w:hint="eastAsia"/>
          <w:sz w:val="30"/>
          <w:szCs w:val="30"/>
          <w:lang w:val="en-US" w:eastAsia="zh-CN"/>
        </w:rPr>
        <w:t>0.84</w:t>
      </w:r>
      <w:r>
        <w:rPr>
          <w:rFonts w:ascii="仿宋_GB2312" w:eastAsia="仿宋_GB2312" w:hAnsi="仿宋_GB2312" w:cs="仿宋_GB2312" w:hint="eastAsia"/>
          <w:sz w:val="30"/>
          <w:szCs w:val="30"/>
        </w:rPr>
        <w:t>万元。授予中小企业合同金额</w:t>
      </w:r>
      <w:bookmarkStart w:id="0" w:name="_GoBack"/>
      <w:bookmarkEnd w:id="0"/>
      <w:r>
        <w:rPr>
          <w:rFonts w:ascii="仿宋_GB2312" w:eastAsia="仿宋_GB2312" w:hAnsi="仿宋_GB2312" w:cs="仿宋_GB2312" w:hint="eastAsia"/>
          <w:sz w:val="30"/>
          <w:szCs w:val="30"/>
          <w:lang w:val="en-US" w:eastAsia="zh-CN"/>
        </w:rPr>
        <w:t>0</w:t>
      </w:r>
      <w:r>
        <w:rPr>
          <w:rFonts w:ascii="仿宋_GB2312" w:eastAsia="仿宋_GB2312" w:hAnsi="仿宋_GB2312" w:cs="仿宋_GB2312" w:hint="eastAsia"/>
          <w:sz w:val="30"/>
          <w:szCs w:val="30"/>
        </w:rPr>
        <w:t>万元，占政府采购支出总额的</w:t>
      </w:r>
      <w:r>
        <w:rPr>
          <w:rFonts w:ascii="仿宋_GB2312" w:eastAsia="仿宋_GB2312" w:hAnsi="仿宋_GB2312" w:cs="仿宋_GB2312" w:hint="eastAsia"/>
          <w:sz w:val="30"/>
          <w:szCs w:val="30"/>
          <w:lang w:val="en-US" w:eastAsia="zh-CN"/>
        </w:rPr>
        <w:t>0</w:t>
      </w:r>
      <w:r>
        <w:rPr>
          <w:rFonts w:ascii="仿宋_GB2312" w:eastAsia="仿宋_GB2312" w:hAnsi="仿宋_GB2312" w:cs="仿宋_GB2312" w:hint="eastAsia"/>
          <w:sz w:val="30"/>
          <w:szCs w:val="30"/>
        </w:rPr>
        <w:t>%。</w:t>
      </w:r>
    </w:p>
    <w:p>
      <w:pPr>
        <w:ind w:firstLine="600" w:firstLineChars="200"/>
        <w:jc w:val="left"/>
        <w:rPr>
          <w:rFonts w:ascii="黑体" w:eastAsia="黑体" w:hAnsi="黑体" w:cs="黑体" w:hint="eastAsia"/>
          <w:sz w:val="30"/>
          <w:szCs w:val="30"/>
          <w:lang w:val="en-US" w:eastAsia="zh-CN"/>
        </w:rPr>
      </w:pPr>
      <w:r>
        <w:rPr>
          <w:rFonts w:ascii="黑体" w:eastAsia="黑体" w:hAnsi="黑体" w:cs="黑体" w:hint="eastAsia"/>
          <w:sz w:val="30"/>
          <w:szCs w:val="30"/>
          <w:lang w:val="en-US" w:eastAsia="zh-CN"/>
        </w:rPr>
        <w:t>四、部门绩效自评情况</w:t>
      </w:r>
    </w:p>
    <w:p>
      <w:pPr>
        <w:widowControl/>
        <w:snapToGrid w:val="0"/>
        <w:spacing w:before="100" w:beforeLines="0" w:after="100" w:afterLines="0" w:line="360" w:lineRule="auto"/>
        <w:ind w:firstLine="600"/>
        <w:jc w:val="left"/>
        <w:rPr>
          <w:rFonts w:ascii="仿宋_GB2312" w:eastAsia="仿宋_GB2312" w:hAnsi="仿宋_GB2312" w:cs="仿宋_GB2312" w:hint="eastAsia"/>
          <w:sz w:val="30"/>
          <w:szCs w:val="30"/>
          <w:highlight w:val="none"/>
          <w:lang w:val="en-US" w:eastAsia="zh-CN"/>
        </w:rPr>
      </w:pPr>
      <w:r>
        <w:rPr>
          <w:rFonts w:ascii="仿宋_GB2312" w:eastAsia="仿宋_GB2312" w:hAnsi="仿宋_GB2312" w:cs="仿宋_GB2312" w:hint="eastAsia"/>
          <w:sz w:val="30"/>
          <w:szCs w:val="30"/>
          <w:lang w:val="en-US" w:eastAsia="zh-CN"/>
        </w:rPr>
        <w:t>部门绩效自评情况详见附表</w:t>
      </w:r>
      <w:r>
        <w:rPr>
          <w:rFonts w:ascii="仿宋_GB2312" w:eastAsia="仿宋_GB2312" w:hAnsi="仿宋_GB2312" w:cs="仿宋_GB2312" w:hint="eastAsia"/>
          <w:sz w:val="30"/>
          <w:szCs w:val="30"/>
          <w:highlight w:val="none"/>
          <w:lang w:val="en-US" w:eastAsia="zh-CN"/>
        </w:rPr>
        <w:t>（附表10</w:t>
      </w:r>
      <w:r>
        <w:rPr>
          <w:rFonts w:ascii="仿宋_GB2312" w:eastAsia="仿宋_GB2312" w:hAnsi="仿宋_GB2312" w:cs="仿宋_GB2312" w:hint="eastAsia"/>
          <w:sz w:val="30"/>
          <w:szCs w:val="30"/>
          <w:highlight w:val="none"/>
          <w:lang w:val="en-US" w:eastAsia="zh-CN"/>
        </w:rPr>
        <w:t>—</w:t>
      </w:r>
      <w:r>
        <w:rPr>
          <w:rFonts w:ascii="仿宋_GB2312" w:eastAsia="仿宋_GB2312" w:hAnsi="仿宋_GB2312" w:cs="仿宋_GB2312" w:hint="eastAsia"/>
          <w:sz w:val="30"/>
          <w:szCs w:val="30"/>
          <w:highlight w:val="none"/>
          <w:lang w:val="en-US" w:eastAsia="zh-CN"/>
        </w:rPr>
        <w:t>附表14）。</w:t>
      </w:r>
    </w:p>
    <w:p>
      <w:pPr>
        <w:widowControl/>
        <w:snapToGrid w:val="0"/>
        <w:spacing w:before="100" w:beforeLines="0" w:after="100" w:afterLines="0" w:line="360" w:lineRule="auto"/>
        <w:ind w:firstLine="600" w:firstLineChars="200"/>
        <w:jc w:val="left"/>
        <w:rPr>
          <w:rFonts w:ascii="黑体" w:eastAsia="黑体" w:hAnsi="黑体" w:cs="黑体" w:hint="eastAsia"/>
          <w:sz w:val="30"/>
          <w:szCs w:val="30"/>
          <w:lang w:val="en-US" w:eastAsia="zh-CN"/>
        </w:rPr>
      </w:pPr>
      <w:r>
        <w:rPr>
          <w:rFonts w:ascii="黑体" w:eastAsia="黑体" w:hAnsi="黑体" w:cs="黑体" w:hint="eastAsia"/>
          <w:sz w:val="30"/>
          <w:szCs w:val="30"/>
          <w:lang w:val="en-US" w:eastAsia="zh-CN"/>
        </w:rPr>
        <w:t>五、其他重要事项情况说明</w:t>
      </w:r>
    </w:p>
    <w:p>
      <w:pPr>
        <w:widowControl/>
        <w:snapToGrid w:val="0"/>
        <w:spacing w:before="100" w:beforeLines="0" w:after="100" w:afterLines="0" w:line="360" w:lineRule="auto"/>
        <w:ind w:firstLine="600" w:firstLineChars="200"/>
        <w:jc w:val="left"/>
        <w:rPr>
          <w:rFonts w:ascii="仿宋_GB2312" w:eastAsia="仿宋_GB2312" w:hAnsi="黑体" w:cs="方正小标宋简体" w:hint="eastAsia"/>
          <w:sz w:val="30"/>
          <w:szCs w:val="30"/>
          <w:lang w:eastAsia="zh-CN"/>
        </w:rPr>
      </w:pPr>
      <w:r>
        <w:rPr>
          <w:rFonts w:ascii="仿宋_GB2312" w:eastAsia="仿宋_GB2312" w:hAnsi="黑体" w:cs="方正小标宋简体" w:hint="eastAsia"/>
          <w:sz w:val="30"/>
          <w:szCs w:val="30"/>
          <w:lang w:eastAsia="zh-CN"/>
        </w:rPr>
        <w:t>无。</w:t>
      </w:r>
    </w:p>
    <w:p>
      <w:pPr>
        <w:widowControl/>
        <w:snapToGrid w:val="0"/>
        <w:spacing w:before="100" w:beforeLines="0" w:after="100" w:afterLines="0" w:line="360" w:lineRule="auto"/>
        <w:ind w:firstLine="600" w:firstLineChars="200"/>
        <w:jc w:val="left"/>
        <w:rPr>
          <w:rFonts w:ascii="黑体" w:eastAsia="黑体" w:hAnsi="黑体" w:cs="黑体" w:hint="eastAsia"/>
          <w:sz w:val="30"/>
          <w:szCs w:val="30"/>
          <w:lang w:val="en-US" w:eastAsia="zh-CN"/>
        </w:rPr>
      </w:pPr>
      <w:r>
        <w:rPr>
          <w:rFonts w:ascii="黑体" w:eastAsia="黑体" w:hAnsi="黑体" w:cs="黑体" w:hint="eastAsia"/>
          <w:sz w:val="30"/>
          <w:szCs w:val="30"/>
          <w:lang w:val="en-US" w:eastAsia="zh-CN"/>
        </w:rPr>
        <w:t>六、相关口径说明</w:t>
      </w:r>
    </w:p>
    <w:p>
      <w:pPr>
        <w:ind w:firstLine="600" w:firstLineChars="200"/>
        <w:jc w:val="left"/>
        <w:rPr>
          <w:rFonts w:ascii="仿宋_GB2312" w:eastAsia="仿宋_GB2312" w:hAnsi="黑体" w:cs="方正小标宋简体" w:hint="eastAsia"/>
          <w:sz w:val="30"/>
          <w:szCs w:val="30"/>
        </w:rPr>
      </w:pPr>
      <w:r>
        <w:rPr>
          <w:rFonts w:ascii="仿宋_GB2312" w:eastAsia="仿宋_GB2312" w:hAnsi="黑体" w:cs="方正小标宋简体" w:hint="eastAsia"/>
          <w:sz w:val="30"/>
          <w:szCs w:val="30"/>
          <w:lang w:eastAsia="zh-CN"/>
        </w:rPr>
        <w:t>（一）</w:t>
      </w:r>
      <w:r>
        <w:rPr>
          <w:rFonts w:ascii="仿宋_GB2312" w:eastAsia="仿宋_GB2312" w:hAnsi="黑体" w:cs="方正小标宋简体" w:hint="eastAsia"/>
          <w:sz w:val="30"/>
          <w:szCs w:val="30"/>
        </w:rPr>
        <w:t>基本支出中人员经费包括工资福利支出和对个人和家庭的补助，日常公用支出包括商品和服务支出、资本性支出等人员经费以外的支出。</w:t>
      </w:r>
    </w:p>
    <w:p>
      <w:pPr>
        <w:ind w:firstLine="600" w:firstLineChars="200"/>
        <w:jc w:val="left"/>
        <w:rPr>
          <w:rFonts w:ascii="仿宋_GB2312" w:eastAsia="仿宋_GB2312" w:hAnsi="黑体" w:cs="方正小标宋简体" w:hint="eastAsia"/>
          <w:sz w:val="30"/>
          <w:szCs w:val="30"/>
        </w:rPr>
      </w:pPr>
      <w:r>
        <w:rPr>
          <w:rFonts w:ascii="仿宋_GB2312" w:eastAsia="仿宋_GB2312" w:hAnsi="黑体" w:cs="方正小标宋简体" w:hint="eastAsia"/>
          <w:sz w:val="30"/>
          <w:szCs w:val="30"/>
          <w:lang w:eastAsia="zh-CN"/>
        </w:rPr>
        <w:t>（二）</w:t>
      </w:r>
      <w:r>
        <w:rPr>
          <w:rFonts w:ascii="仿宋_GB2312" w:eastAsia="仿宋_GB2312" w:hAnsi="黑体" w:cs="方正小标宋简体" w:hint="eastAsia"/>
          <w:sz w:val="30"/>
          <w:szCs w:val="30"/>
        </w:rPr>
        <w:t>机关运行经费指行政单位和参照公务员法管理的事业单位使用一般公共预算财政拨款安排的基本支出中的日常公用经费支出</w:t>
      </w:r>
      <w:r>
        <w:rPr>
          <w:rFonts w:ascii="仿宋_GB2312" w:eastAsia="仿宋_GB2312" w:hAnsi="黑体" w:cs="方正小标宋简体" w:hint="eastAsia"/>
          <w:sz w:val="30"/>
          <w:szCs w:val="30"/>
          <w:lang w:eastAsia="zh-CN"/>
        </w:rPr>
        <w:t>。</w:t>
      </w:r>
    </w:p>
    <w:p>
      <w:pPr>
        <w:ind w:firstLine="600" w:firstLineChars="200"/>
        <w:jc w:val="left"/>
        <w:rPr>
          <w:rFonts w:ascii="仿宋_GB2312" w:eastAsia="仿宋_GB2312" w:hAnsi="黑体" w:cs="方正小标宋简体" w:hint="eastAsia"/>
          <w:sz w:val="30"/>
          <w:szCs w:val="30"/>
          <w:highlight w:val="none"/>
        </w:rPr>
      </w:pPr>
      <w:r>
        <w:rPr>
          <w:rFonts w:ascii="仿宋_GB2312" w:eastAsia="仿宋_GB2312" w:hAnsi="黑体" w:cs="方正小标宋简体" w:hint="eastAsia"/>
          <w:sz w:val="30"/>
          <w:szCs w:val="30"/>
          <w:lang w:eastAsia="zh-CN"/>
        </w:rPr>
        <w:t>（三）</w:t>
      </w:r>
      <w:r>
        <w:rPr>
          <w:rFonts w:ascii="仿宋_GB2312" w:eastAsia="仿宋_GB2312" w:hAnsi="黑体" w:cs="方正小标宋简体" w:hint="eastAsia"/>
          <w:sz w:val="30"/>
          <w:szCs w:val="30"/>
        </w:rPr>
        <w:t>按照党中央、国务院有关文件及部门预算管理有关规定，</w:t>
      </w:r>
      <w:r>
        <w:rPr>
          <w:rFonts w:ascii="仿宋_GB2312" w:eastAsia="仿宋_GB2312" w:hAnsi="黑体" w:cs="方正小标宋简体" w:hint="eastAsia"/>
          <w:sz w:val="30"/>
          <w:szCs w:val="30"/>
        </w:rPr>
        <w:t>“</w:t>
      </w:r>
      <w:r>
        <w:rPr>
          <w:rFonts w:ascii="仿宋_GB2312" w:eastAsia="仿宋_GB2312" w:hAnsi="黑体" w:cs="方正小标宋简体" w:hint="eastAsia"/>
          <w:sz w:val="30"/>
          <w:szCs w:val="30"/>
        </w:rPr>
        <w:t>三公</w:t>
      </w:r>
      <w:r>
        <w:rPr>
          <w:rFonts w:ascii="仿宋_GB2312" w:eastAsia="仿宋_GB2312" w:hAnsi="黑体" w:cs="方正小标宋简体" w:hint="eastAsia"/>
          <w:sz w:val="30"/>
          <w:szCs w:val="30"/>
        </w:rPr>
        <w:t>”</w:t>
      </w:r>
      <w:r>
        <w:rPr>
          <w:rFonts w:ascii="仿宋_GB2312" w:eastAsia="仿宋_GB2312" w:hAnsi="黑体" w:cs="方正小标宋简体" w:hint="eastAsia"/>
          <w:sz w:val="30"/>
          <w:szCs w:val="30"/>
        </w:rPr>
        <w:t>经费包括因公出国（境）费、公务用车购置及运行维护费、公务接待费。</w:t>
      </w:r>
      <w:r>
        <w:rPr>
          <w:rFonts w:ascii="仿宋_GB2312" w:eastAsia="仿宋_GB2312" w:hAnsi="黑体" w:cs="方正小标宋简体" w:hint="eastAsia"/>
          <w:sz w:val="30"/>
          <w:szCs w:val="30"/>
          <w:highlight w:val="none"/>
        </w:rPr>
        <w:t>其中：因公出国（境）费，指单位工作人员公务出国（境）的国际旅费、国外城市间交通费、住宿费、伙食费、培训费、公杂费等支出；公务用车购置费，指单位公务用车车辆购置支出（含车辆购置税</w:t>
      </w:r>
      <w:r>
        <w:rPr>
          <w:rFonts w:ascii="仿宋_GB2312" w:eastAsia="仿宋_GB2312" w:hAnsi="黑体" w:cs="方正小标宋简体" w:hint="eastAsia"/>
          <w:sz w:val="30"/>
          <w:szCs w:val="30"/>
          <w:highlight w:val="none"/>
          <w:lang w:eastAsia="zh-CN"/>
        </w:rPr>
        <w:t>、牌照费等</w:t>
      </w:r>
      <w:r>
        <w:rPr>
          <w:rFonts w:ascii="仿宋_GB2312" w:eastAsia="仿宋_GB2312" w:hAnsi="黑体" w:cs="方正小标宋简体" w:hint="eastAsia"/>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p>
    <w:p>
      <w:pPr>
        <w:ind w:firstLine="600" w:firstLineChars="200"/>
        <w:jc w:val="left"/>
        <w:rPr>
          <w:rFonts w:ascii="仿宋_GB2312" w:eastAsia="仿宋_GB2312" w:hAnsi="黑体" w:cs="方正小标宋简体" w:hint="eastAsia"/>
          <w:sz w:val="30"/>
          <w:szCs w:val="30"/>
        </w:rPr>
      </w:pPr>
      <w:r>
        <w:rPr>
          <w:rFonts w:ascii="仿宋_GB2312" w:eastAsia="仿宋_GB2312" w:hAnsi="黑体" w:cs="方正小标宋简体" w:hint="eastAsia"/>
          <w:sz w:val="30"/>
          <w:szCs w:val="30"/>
          <w:lang w:eastAsia="zh-CN"/>
        </w:rPr>
        <w:t>（四）</w:t>
      </w:r>
      <w:r>
        <w:rPr>
          <w:rFonts w:ascii="仿宋_GB2312" w:eastAsia="仿宋_GB2312" w:hAnsi="黑体" w:cs="方正小标宋简体" w:hint="eastAsia"/>
          <w:sz w:val="30"/>
          <w:szCs w:val="30"/>
        </w:rPr>
        <w:t>“</w:t>
      </w:r>
      <w:r>
        <w:rPr>
          <w:rFonts w:ascii="仿宋_GB2312" w:eastAsia="仿宋_GB2312" w:hAnsi="黑体" w:cs="方正小标宋简体" w:hint="eastAsia"/>
          <w:sz w:val="30"/>
          <w:szCs w:val="30"/>
        </w:rPr>
        <w:t>三公</w:t>
      </w:r>
      <w:r>
        <w:rPr>
          <w:rFonts w:ascii="仿宋_GB2312" w:eastAsia="仿宋_GB2312" w:hAnsi="黑体" w:cs="方正小标宋简体" w:hint="eastAsia"/>
          <w:sz w:val="30"/>
          <w:szCs w:val="30"/>
        </w:rPr>
        <w:t>”</w:t>
      </w:r>
      <w:r>
        <w:rPr>
          <w:rFonts w:ascii="仿宋_GB2312" w:eastAsia="仿宋_GB2312" w:hAnsi="黑体" w:cs="方正小标宋简体" w:hint="eastAsia"/>
          <w:sz w:val="30"/>
          <w:szCs w:val="30"/>
        </w:rPr>
        <w:t>经费决算数：指各部门（含下属单位）当年通过本级财政一般公共预算财政拨款和以前年度一般公共预算财政拨款结转结余资金安排的因公出国（境）费、公务用车购置及运行维护费和公务接待费支出数（包括基本支出和项目支出）。</w:t>
      </w:r>
    </w:p>
    <w:p>
      <w:pPr>
        <w:ind w:firstLine="640" w:firstLineChars="200"/>
        <w:jc w:val="center"/>
        <w:rPr>
          <w:rFonts w:ascii="黑体" w:eastAsia="黑体" w:hAnsi="黑体" w:cs="方正小标宋简体" w:hint="eastAsia"/>
          <w:sz w:val="32"/>
          <w:szCs w:val="32"/>
        </w:rPr>
      </w:pPr>
      <w:r>
        <w:rPr>
          <w:rFonts w:ascii="黑体" w:eastAsia="黑体" w:hAnsi="黑体" w:cs="方正小标宋简体" w:hint="eastAsia"/>
          <w:sz w:val="32"/>
          <w:szCs w:val="32"/>
        </w:rPr>
        <w:t>第</w:t>
      </w:r>
      <w:r>
        <w:rPr>
          <w:rFonts w:ascii="黑体" w:eastAsia="黑体" w:hAnsi="黑体" w:cs="方正小标宋简体" w:hint="eastAsia"/>
          <w:sz w:val="32"/>
          <w:szCs w:val="32"/>
          <w:lang w:eastAsia="zh-CN"/>
        </w:rPr>
        <w:t>五</w:t>
      </w:r>
      <w:r>
        <w:rPr>
          <w:rFonts w:ascii="黑体" w:eastAsia="黑体" w:hAnsi="黑体" w:cs="方正小标宋简体" w:hint="eastAsia"/>
          <w:sz w:val="32"/>
          <w:szCs w:val="32"/>
        </w:rPr>
        <w:t>部分  名词解释</w:t>
      </w:r>
    </w:p>
    <w:p>
      <w:pPr>
        <w:ind w:firstLine="600" w:firstLineChars="200"/>
        <w:jc w:val="left"/>
        <w:rPr>
          <w:rFonts w:ascii="仿宋_GB2312" w:eastAsia="仿宋_GB2312" w:hAnsi="黑体" w:cs="方正小标宋简体" w:hint="eastAsia"/>
          <w:sz w:val="30"/>
          <w:szCs w:val="30"/>
          <w:lang w:eastAsia="zh-CN"/>
        </w:rPr>
      </w:pPr>
      <w:r>
        <w:rPr>
          <w:rFonts w:ascii="仿宋_GB2312" w:eastAsia="仿宋_GB2312" w:hAnsi="黑体" w:cs="方正小标宋简体" w:hint="eastAsia"/>
          <w:sz w:val="30"/>
          <w:szCs w:val="30"/>
          <w:lang w:eastAsia="zh-CN"/>
        </w:rPr>
        <w:t>无。</w:t>
      </w:r>
    </w:p>
    <w:p>
      <w:pPr>
        <w:rPr>
          <w:rFonts w:ascii="Arial" w:eastAsia="Arial" w:hAnsi="Arial" w:cs="Arial"/>
          <w:b/>
          <w:sz w:val="36"/>
        </w:rPr>
      </w:pPr>
      <w:r>
        <w:rPr>
          <w:rFonts w:ascii="Arial" w:eastAsia="Arial" w:hAnsi="Arial" w:cs="Arial"/>
          <w:b/>
          <w:sz w:val="36"/>
        </w:rPr>
        <w:t>监督索引号53342300432701111</w:t>
      </w:r>
    </w:p>
    <w:sectPr>
      <w:headerReference w:type="default" r:id="rId4"/>
      <w:footerReference w:type="even" r:id="rId5"/>
      <w:footerReference w:type="default" r:id="rId6"/>
      <w:pgSz w:w="11906" w:h="16838"/>
      <w:pgMar w:top="2098" w:right="1418" w:bottom="1588" w:left="1644"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方正小标宋简体">
    <w:altName w:val="宋体"/>
    <w:panose1 w:val="03000509000000000000"/>
    <w:charset w:val="86"/>
    <w:family w:val="script"/>
    <w:pitch w:val="default"/>
    <w:sig w:usb0="00000001" w:usb1="080E0000" w:usb2="00000000" w:usb3="00000000" w:csb0="00040000" w:csb1="00000000"/>
  </w:font>
  <w:font w:name="楷体">
    <w:altName w:val="楷体_GB2312"/>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roma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Cambria Math">
    <w:panose1 w:val="02040503050406030204"/>
    <w:charset w:val="00"/>
    <w:family w:val="roman"/>
    <w:pitch w:val="default"/>
    <w:sig w:usb0="A00002EF" w:usb1="420020EB" w:usb2="00000000" w:usb3="00000000" w:csb0="2000009F" w:csb1="00000000"/>
  </w:font>
  <w:font w:name="微软雅黑">
    <w:panose1 w:val="020B0503020204020204"/>
    <w:charset w:val="86"/>
    <w:family w:val="auto"/>
    <w:pitch w:val="default"/>
    <w:sig w:usb0="80000287" w:usb1="2A0F3C52" w:usb2="00000016" w:usb3="00000000" w:csb0="0004001F" w:csb1="00000000"/>
  </w:font>
  <w:font w:name="方正仿宋_GBK">
    <w:altName w:val="仿宋_GB2312"/>
    <w:panose1 w:val="03000509000000000000"/>
    <w:charset w:val="86"/>
    <w:family w:val="script"/>
    <w:pitch w:val="default"/>
    <w:sig w:usb0="00000001" w:usb1="080E0000" w:usb2="00000010" w:usb3="00000000" w:csb0="00040000" w:csb1="00000000"/>
  </w:font>
  <w:font w:name="仿宋">
    <w:altName w:val="宋体"/>
    <w:panose1 w:val="02010609060101010101"/>
    <w:charset w:val="86"/>
    <w:family w:val="roman"/>
    <w:pitch w:val="default"/>
    <w:sig w:usb0="00000000" w:usb1="00000000" w:usb2="00000000" w:usb3="00000000" w:csb0="00040001" w:csb1="00000000"/>
  </w:font>
  <w:font w:name="方正楷体_GBK">
    <w:altName w:val="微软雅黑"/>
    <w:panose1 w:val="03000509000000000000"/>
    <w:charset w:val="86"/>
    <w:family w:val="script"/>
    <w:pitch w:val="default"/>
    <w:sig w:usb0="00000001" w:usb1="080E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61007A87" w:usb1="80000000" w:usb2="00000008" w:usb3="00000000" w:csb0="200101FF" w:csb1="2028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FZLTHK--GBK1-0">
    <w:altName w:val="方正兰亭超细黑简体"/>
    <w:panose1 w:val="00000000000000000000"/>
    <w:charset w:val="86"/>
    <w:family w:val="auto"/>
    <w:pitch w:val="default"/>
    <w:sig w:usb0="00000001" w:usb1="080E0000" w:usb2="00000010" w:usb3="00000000" w:csb0="00040000" w:csb1="00000000"/>
  </w:font>
  <w:font w:name="FZBYSK--GBK1-0">
    <w:altName w:val="方正兰亭超细黑简体"/>
    <w:panose1 w:val="00000000000000000000"/>
    <w:charset w:val="86"/>
    <w:family w:val="auto"/>
    <w:pitch w:val="default"/>
    <w:sig w:usb0="00000001" w:usb1="080E0000" w:usb2="00000010" w:usb3="00000000" w:csb0="00040000" w:csb1="00000000"/>
  </w:font>
  <w:font w:name="NEU-BZ-Regular">
    <w:altName w:val="PMingLiU"/>
    <w:panose1 w:val="00000000000000000000"/>
    <w:charset w:val="88"/>
    <w:family w:val="auto"/>
    <w:pitch w:val="default"/>
    <w:sig w:usb0="00000001" w:usb1="08080000" w:usb2="00000010" w:usb3="00000000" w:csb0="00100000" w:csb1="00000000"/>
  </w:font>
  <w:font w:name="Verdana">
    <w:panose1 w:val="020B0604030504040204"/>
    <w:charset w:val="00"/>
    <w:family w:val="swiss"/>
    <w:pitch w:val="default"/>
    <w:sig w:usb0="00000287" w:usb1="00000000"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 w:name="PMingLiU">
    <w:panose1 w:val="02020300000000000000"/>
    <w:charset w:val="88"/>
    <w:family w:val="auto"/>
    <w:pitch w:val="default"/>
    <w:sig w:usb0="00000003" w:usb1="082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h="0" w:hRule="auto"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fldChar w:fldCharType="end"/>
    </w:r>
  </w:p>
  <w:p>
    <w:pPr>
      <w:pStyle w:val="Footer"/>
      <w:tabs>
        <w:tab w:val="cente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h="0" w:hRule="auto"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rPr>
        <w:rStyle w:val="PageNumber"/>
      </w:rPr>
      <w:t>8</w:t>
    </w:r>
    <w:r>
      <w:fldChar w:fldCharType="end"/>
    </w:r>
  </w:p>
  <w:p>
    <w:pPr>
      <w:pStyle w:val="Footer"/>
      <w:tabs>
        <w:tab w:val="center" w:pos="4153"/>
        <w:tab w:val="right" w:pos="8306"/>
      </w:tabs>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font01">
    <w:name w:val="font01"/>
    <w:basedOn w:val="DefaultParagraphFont"/>
    <w:rPr>
      <w:rFonts w:ascii="Arial" w:hAnsi="Arial" w:cs="Arial" w:hint="default"/>
      <w:color w:val="000000"/>
      <w:sz w:val="20"/>
      <w:szCs w:val="20"/>
      <w:u w:val="none"/>
    </w:rPr>
  </w:style>
  <w:style w:type="character" w:customStyle="1" w:styleId="font11">
    <w:name w:val="font11"/>
    <w:basedOn w:val="DefaultParagraphFont"/>
    <w:rPr>
      <w:rFonts w:ascii="宋体" w:eastAsia="宋体" w:hAnsi="宋体" w:cs="宋体" w:hint="eastAsia"/>
      <w:color w:val="000000"/>
      <w:sz w:val="20"/>
      <w:szCs w:val="20"/>
      <w:u w:val="none"/>
    </w:rPr>
  </w:style>
  <w:style w:type="character" w:styleId="PageNumber">
    <w:name w:val="page number"/>
    <w:basedOn w:val="DefaultParagraphFont"/>
  </w:style>
  <w:style w:type="paragraph" w:styleId="BalloonText">
    <w:name w:val="Balloon Text"/>
    <w:basedOn w:val="Normal"/>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paragraph" w:styleId="BodyText">
    <w:name w:val="Body Text"/>
    <w:basedOn w:val="Normal"/>
    <w:pPr>
      <w:spacing w:before="93" w:beforeLines="30"/>
    </w:pPr>
    <w:rPr>
      <w:rFonts w:ascii="仿宋_GB2312" w:eastAsia="仿宋_GB2312"/>
      <w:sz w:val="30"/>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numbering" Target="numbering.xml" /><Relationship Id="rId8"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Normal.dotm" TargetMode="Externa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598</Words>
  <Characters>3413</Characters>
  <Application>Microsoft Office Word</Application>
  <DocSecurity>0</DocSecurity>
  <Lines>28</Lines>
  <Paragraphs>8</Paragraphs>
  <ScaleCrop>false</ScaleCrop>
  <Company>微软中国</Company>
  <LinksUpToDate>false</LinksUpToDate>
  <CharactersWithSpaces>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四川省财政厅2011年部门预算编制说明</dc:title>
  <dc:creator>赵树子</dc:creator>
  <cp:lastModifiedBy>李玉璟</cp:lastModifiedBy>
  <cp:revision>130</cp:revision>
  <cp:lastPrinted>2019-06-21T10:52:36Z</cp:lastPrinted>
  <dcterms:created xsi:type="dcterms:W3CDTF">2013-05-09T09:41:00Z</dcterms:created>
  <dcterms:modified xsi:type="dcterms:W3CDTF">2019-07-09T06:16:52Z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