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_GBK" w:cs="Times New Roman"/>
          <w:b w:val="0"/>
          <w:bCs w:val="0"/>
          <w:sz w:val="44"/>
          <w:szCs w:val="44"/>
        </w:rPr>
      </w:pPr>
      <w:r>
        <w:rPr>
          <w:rFonts w:hint="eastAsia" w:ascii="Times New Roman" w:hAnsi="Times New Roman" w:eastAsia="方正小标宋_GBK" w:cs="Times New Roman"/>
          <w:b w:val="0"/>
          <w:bCs w:val="0"/>
          <w:sz w:val="44"/>
          <w:szCs w:val="44"/>
          <w:lang w:eastAsia="zh-CN"/>
        </w:rPr>
        <w:t>叶枝镇</w:t>
      </w:r>
      <w:r>
        <w:rPr>
          <w:rFonts w:hint="default" w:ascii="Times New Roman" w:hAnsi="Times New Roman" w:eastAsia="方正小标宋_GBK" w:cs="Times New Roman"/>
          <w:b w:val="0"/>
          <w:bCs w:val="0"/>
          <w:sz w:val="44"/>
          <w:szCs w:val="44"/>
          <w:lang w:eastAsia="zh-CN"/>
        </w:rPr>
        <w:t>人民政府</w:t>
      </w:r>
      <w:r>
        <w:rPr>
          <w:rFonts w:hint="default" w:ascii="Times New Roman" w:hAnsi="Times New Roman" w:eastAsia="方正小标宋_GBK" w:cs="Times New Roman"/>
          <w:b w:val="0"/>
          <w:bCs w:val="0"/>
          <w:sz w:val="44"/>
          <w:szCs w:val="44"/>
        </w:rPr>
        <w:t>201</w:t>
      </w:r>
      <w:r>
        <w:rPr>
          <w:rFonts w:hint="eastAsia" w:ascii="Times New Roman" w:hAnsi="Times New Roman" w:eastAsia="方正小标宋_GBK" w:cs="Times New Roman"/>
          <w:b w:val="0"/>
          <w:bCs w:val="0"/>
          <w:sz w:val="44"/>
          <w:szCs w:val="44"/>
          <w:lang w:val="en-US" w:eastAsia="zh-CN"/>
        </w:rPr>
        <w:t>9</w:t>
      </w:r>
      <w:r>
        <w:rPr>
          <w:rFonts w:hint="default" w:ascii="Times New Roman" w:hAnsi="Times New Roman" w:eastAsia="方正小标宋_GBK" w:cs="Times New Roman"/>
          <w:b w:val="0"/>
          <w:bCs w:val="0"/>
          <w:sz w:val="44"/>
          <w:szCs w:val="44"/>
        </w:rPr>
        <w:t>年度预算绩效</w:t>
      </w:r>
    </w:p>
    <w:p>
      <w:pPr>
        <w:jc w:val="center"/>
        <w:rPr>
          <w:rFonts w:hint="eastAsia" w:ascii="仿宋" w:hAnsi="仿宋" w:eastAsia="仿宋" w:cs="仿宋"/>
          <w:b/>
          <w:bCs/>
          <w:sz w:val="44"/>
          <w:szCs w:val="44"/>
        </w:rPr>
      </w:pPr>
      <w:r>
        <w:rPr>
          <w:rFonts w:hint="default" w:ascii="Times New Roman" w:hAnsi="Times New Roman" w:eastAsia="方正小标宋_GBK" w:cs="Times New Roman"/>
          <w:b w:val="0"/>
          <w:bCs w:val="0"/>
          <w:sz w:val="44"/>
          <w:szCs w:val="44"/>
        </w:rPr>
        <w:t>自评报告</w:t>
      </w:r>
    </w:p>
    <w:p>
      <w:pPr>
        <w:spacing w:line="590" w:lineRule="exact"/>
        <w:ind w:firstLine="640" w:firstLineChars="200"/>
        <w:jc w:val="both"/>
        <w:rPr>
          <w:rFonts w:hint="default" w:ascii="Times New Roman" w:hAnsi="Times New Roman" w:eastAsia="仿宋_GB2312" w:cs="Times New Roman"/>
          <w:sz w:val="32"/>
          <w:szCs w:val="32"/>
        </w:rPr>
      </w:pPr>
    </w:p>
    <w:p>
      <w:pPr>
        <w:spacing w:line="59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贯彻落实党的十九大关于“全面实施绩效管理”的要求，加强预算绩效管理，强化绩效理念和支出责任，着力提升财政资金的使用效益，根据云南省财政厅关于开展财政支出绩效评价的相关要求及《维西县财政局关于开展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年度预算绩效自评工作有关事项的通知》（维财</w:t>
      </w:r>
      <w:r>
        <w:rPr>
          <w:rFonts w:hint="eastAsia" w:ascii="Times New Roman" w:hAnsi="Times New Roman" w:eastAsia="仿宋_GB2312" w:cs="Times New Roman"/>
          <w:sz w:val="32"/>
          <w:szCs w:val="32"/>
          <w:lang w:eastAsia="zh-CN"/>
        </w:rPr>
        <w:t>债</w:t>
      </w:r>
      <w:r>
        <w:rPr>
          <w:rFonts w:hint="default" w:ascii="Times New Roman" w:hAnsi="Times New Roman" w:eastAsia="仿宋_GB2312" w:cs="Times New Roman"/>
          <w:sz w:val="32"/>
          <w:szCs w:val="32"/>
        </w:rPr>
        <w:t>〔20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号）文件要求，我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rPr>
        <w:t>高度重视、认真落实，积极组织力量，完成部门整体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绩效自评工作，</w:t>
      </w:r>
      <w:r>
        <w:rPr>
          <w:rFonts w:hint="default" w:ascii="Times New Roman" w:hAnsi="Times New Roman" w:eastAsia="仿宋_GB2312" w:cs="Times New Roman"/>
          <w:sz w:val="32"/>
          <w:szCs w:val="32"/>
          <w:lang w:eastAsia="zh-CN"/>
        </w:rPr>
        <w:t>现将201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年度预算绩效自评报告如下：</w:t>
      </w:r>
    </w:p>
    <w:p>
      <w:pPr>
        <w:numPr>
          <w:ilvl w:val="0"/>
          <w:numId w:val="1"/>
        </w:numPr>
        <w:spacing w:line="560" w:lineRule="exact"/>
        <w:ind w:left="640" w:leftChars="0" w:firstLine="0" w:firstLineChars="0"/>
        <w:jc w:val="both"/>
        <w:rPr>
          <w:rFonts w:hint="default" w:ascii="Times New Roman" w:hAnsi="Times New Roman" w:eastAsia="仿宋_GB2312" w:cs="Times New Roman"/>
          <w:b/>
          <w:bCs/>
          <w:sz w:val="32"/>
          <w:szCs w:val="32"/>
          <w:lang w:val="en-US" w:eastAsia="zh-CN"/>
        </w:rPr>
      </w:pPr>
      <w:r>
        <w:rPr>
          <w:rFonts w:hint="eastAsia" w:ascii="方正黑体_GBK" w:hAnsi="方正黑体_GBK" w:eastAsia="方正黑体_GBK" w:cs="方正黑体_GBK"/>
          <w:b w:val="0"/>
          <w:bCs w:val="0"/>
          <w:sz w:val="32"/>
          <w:szCs w:val="32"/>
          <w:lang w:val="en-US" w:eastAsia="zh-CN"/>
        </w:rPr>
        <w:t>科学设立绩效目标及自评体系</w:t>
      </w:r>
    </w:p>
    <w:p>
      <w:pPr>
        <w:spacing w:line="59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开展绩效自评，</w:t>
      </w:r>
      <w:r>
        <w:rPr>
          <w:rFonts w:hint="default" w:ascii="Times New Roman" w:hAnsi="Times New Roman" w:eastAsia="仿宋_GB2312" w:cs="Times New Roman"/>
          <w:sz w:val="32"/>
          <w:szCs w:val="32"/>
          <w:lang w:eastAsia="zh-CN"/>
        </w:rPr>
        <w:t>能对我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资金使用管理和产出效益情况进行自我体检</w:t>
      </w:r>
      <w:r>
        <w:rPr>
          <w:rFonts w:hint="default" w:ascii="Times New Roman" w:hAnsi="Times New Roman" w:eastAsia="仿宋_GB2312" w:cs="Times New Roman"/>
          <w:sz w:val="32"/>
          <w:szCs w:val="32"/>
          <w:lang w:eastAsia="zh-CN"/>
        </w:rPr>
        <w:t>，并能通过</w:t>
      </w:r>
      <w:r>
        <w:rPr>
          <w:rFonts w:hint="default" w:ascii="Times New Roman" w:hAnsi="Times New Roman" w:eastAsia="仿宋_GB2312" w:cs="Times New Roman"/>
          <w:sz w:val="32"/>
          <w:szCs w:val="32"/>
        </w:rPr>
        <w:t>查摆问题，提出相应的整改措施和工作打算</w:t>
      </w:r>
      <w:r>
        <w:rPr>
          <w:rFonts w:hint="default" w:ascii="Times New Roman" w:hAnsi="Times New Roman" w:eastAsia="仿宋_GB2312" w:cs="Times New Roman"/>
          <w:sz w:val="32"/>
          <w:szCs w:val="32"/>
          <w:lang w:eastAsia="zh-CN"/>
        </w:rPr>
        <w:t>。我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val="en-US" w:eastAsia="zh-CN"/>
        </w:rPr>
        <w:t>根据整体支出情况制定了《维西县</w:t>
      </w:r>
      <w:r>
        <w:rPr>
          <w:rFonts w:hint="eastAsia" w:ascii="Times New Roman" w:hAnsi="Times New Roman" w:eastAsia="仿宋_GB2312" w:cs="Times New Roman"/>
          <w:sz w:val="32"/>
          <w:szCs w:val="32"/>
          <w:lang w:val="en-US" w:eastAsia="zh-CN"/>
        </w:rPr>
        <w:t>叶枝镇</w:t>
      </w:r>
      <w:r>
        <w:rPr>
          <w:rFonts w:hint="default" w:ascii="Times New Roman" w:hAnsi="Times New Roman" w:eastAsia="仿宋_GB2312" w:cs="Times New Roman"/>
          <w:sz w:val="32"/>
          <w:szCs w:val="32"/>
          <w:lang w:val="en-US" w:eastAsia="zh-CN"/>
        </w:rPr>
        <w:t>人民政府整体支出绩效考评指标量化评分表》，从投入、过程、产出、效果四个方面分别设立三级指标建立评分体系，共设置4个一级指标，6个二级指标，18个三级指标（详见：维西县</w:t>
      </w:r>
      <w:r>
        <w:rPr>
          <w:rFonts w:hint="eastAsia" w:ascii="Times New Roman" w:hAnsi="Times New Roman" w:eastAsia="仿宋_GB2312" w:cs="Times New Roman"/>
          <w:sz w:val="32"/>
          <w:szCs w:val="32"/>
          <w:lang w:val="en-US" w:eastAsia="zh-CN"/>
        </w:rPr>
        <w:t>叶枝镇</w:t>
      </w:r>
      <w:r>
        <w:rPr>
          <w:rFonts w:hint="default" w:ascii="Times New Roman" w:hAnsi="Times New Roman" w:eastAsia="仿宋_GB2312" w:cs="Times New Roman"/>
          <w:sz w:val="32"/>
          <w:szCs w:val="32"/>
          <w:lang w:val="en-US" w:eastAsia="zh-CN"/>
        </w:rPr>
        <w:t>人民政府整体支出绩效考评指标量化评分表），对评价内容、评分标准和评分依据都作了详细描述，全面、真实、客观反映我</w:t>
      </w:r>
      <w:r>
        <w:rPr>
          <w:rFonts w:hint="eastAsia" w:ascii="Times New Roman" w:hAnsi="Times New Roman" w:eastAsia="仿宋_GB2312" w:cs="Times New Roman"/>
          <w:sz w:val="32"/>
          <w:szCs w:val="32"/>
          <w:lang w:val="en-US" w:eastAsia="zh-CN"/>
        </w:rPr>
        <w:t>镇</w:t>
      </w:r>
      <w:r>
        <w:rPr>
          <w:rFonts w:hint="default" w:ascii="Times New Roman" w:hAnsi="Times New Roman" w:eastAsia="仿宋_GB2312" w:cs="Times New Roman"/>
          <w:sz w:val="32"/>
          <w:szCs w:val="32"/>
          <w:lang w:val="en-US" w:eastAsia="zh-CN"/>
        </w:rPr>
        <w:t>支出绩效。</w:t>
      </w:r>
      <w:r>
        <w:rPr>
          <w:rFonts w:hint="default" w:ascii="Times New Roman" w:hAnsi="Times New Roman" w:eastAsia="仿宋_GB2312" w:cs="Times New Roman"/>
          <w:sz w:val="32"/>
          <w:szCs w:val="32"/>
        </w:rPr>
        <w:t>并将自评结果与预算安排相结合，切实增强绩效自评约束力。</w:t>
      </w:r>
      <w:r>
        <w:rPr>
          <w:rFonts w:hint="default" w:ascii="Times New Roman" w:hAnsi="Times New Roman" w:eastAsia="仿宋_GB2312" w:cs="Times New Roman"/>
          <w:sz w:val="32"/>
          <w:szCs w:val="32"/>
          <w:lang w:eastAsia="zh-CN"/>
        </w:rPr>
        <w:t>同时我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rPr>
        <w:t>绩效自评坚持以结果应用为中心，不断提高财政资金使用效益。</w:t>
      </w:r>
    </w:p>
    <w:p>
      <w:pPr>
        <w:numPr>
          <w:ilvl w:val="0"/>
          <w:numId w:val="1"/>
        </w:numPr>
        <w:spacing w:line="560" w:lineRule="exact"/>
        <w:ind w:left="640" w:leftChars="0" w:firstLine="0" w:firstLineChars="0"/>
        <w:jc w:val="both"/>
        <w:rPr>
          <w:rFonts w:hint="default" w:ascii="Times New Roman" w:hAnsi="Times New Roman" w:eastAsia="仿宋_GB2312" w:cs="Times New Roman"/>
          <w:b/>
          <w:bCs/>
          <w:sz w:val="32"/>
          <w:szCs w:val="32"/>
          <w:lang w:val="en-US" w:eastAsia="zh-CN"/>
        </w:rPr>
      </w:pPr>
      <w:r>
        <w:rPr>
          <w:rFonts w:hint="eastAsia" w:ascii="方正黑体_GBK" w:hAnsi="方正黑体_GBK" w:eastAsia="方正黑体_GBK" w:cs="方正黑体_GBK"/>
          <w:b w:val="0"/>
          <w:bCs w:val="0"/>
          <w:sz w:val="32"/>
          <w:szCs w:val="32"/>
          <w:lang w:val="en-US" w:eastAsia="zh-CN"/>
        </w:rPr>
        <w:t>全面真实开展预算绩效自评</w:t>
      </w:r>
    </w:p>
    <w:p>
      <w:pPr>
        <w:numPr>
          <w:ilvl w:val="0"/>
          <w:numId w:val="0"/>
        </w:numPr>
        <w:autoSpaceDE w:val="0"/>
        <w:autoSpaceDN w:val="0"/>
        <w:spacing w:line="590" w:lineRule="exact"/>
        <w:ind w:right="600" w:rightChars="0" w:firstLine="640" w:firstLineChars="200"/>
        <w:jc w:val="both"/>
        <w:textAlignment w:val="baseline"/>
        <w:rPr>
          <w:rFonts w:hint="default" w:ascii="Times New Roman" w:hAnsi="Times New Roman" w:eastAsia="仿宋_GB2312" w:cs="Times New Roman"/>
          <w:b/>
          <w:bCs/>
          <w:sz w:val="32"/>
          <w:szCs w:val="32"/>
          <w:lang w:eastAsia="zh-CN"/>
        </w:rPr>
      </w:pPr>
      <w:r>
        <w:rPr>
          <w:rFonts w:hint="eastAsia" w:ascii="方正楷体_GBK" w:hAnsi="方正楷体_GBK" w:eastAsia="方正楷体_GBK" w:cs="方正楷体_GBK"/>
          <w:b w:val="0"/>
          <w:bCs w:val="0"/>
          <w:sz w:val="32"/>
          <w:szCs w:val="32"/>
          <w:lang w:eastAsia="zh-CN"/>
        </w:rPr>
        <w:t>（一）预算配置科学</w:t>
      </w:r>
    </w:p>
    <w:p>
      <w:pPr>
        <w:spacing w:line="590" w:lineRule="exact"/>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预算编制科学。</w:t>
      </w:r>
      <w:r>
        <w:rPr>
          <w:rFonts w:hint="default" w:ascii="Times New Roman" w:hAnsi="Times New Roman" w:eastAsia="仿宋_GB2312" w:cs="Times New Roman"/>
          <w:sz w:val="32"/>
          <w:szCs w:val="32"/>
          <w:lang w:eastAsia="zh-CN"/>
        </w:rPr>
        <w:t>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eastAsia="zh-CN"/>
        </w:rPr>
        <w:t>严格按照《预算法》的要求，结合单位编制和各项支出编制预算。中期支出规划、年度履职目标编制科学，年度预算与中期规划和履职目标衔接紧密。预算编制依据充分、数据详实、结构优化、细化可执行。基础信息完善、数据更新及时、依据真实完整。</w:t>
      </w:r>
    </w:p>
    <w:p>
      <w:pPr>
        <w:spacing w:line="590" w:lineRule="exact"/>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基本支出足额保障。</w:t>
      </w:r>
      <w:r>
        <w:rPr>
          <w:rFonts w:hint="default" w:ascii="Times New Roman" w:hAnsi="Times New Roman" w:eastAsia="仿宋_GB2312" w:cs="Times New Roman"/>
          <w:sz w:val="32"/>
          <w:szCs w:val="32"/>
          <w:lang w:eastAsia="zh-CN"/>
        </w:rPr>
        <w:t>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eastAsia="zh-CN"/>
        </w:rPr>
        <w:t>基本支出预算安排足额保障各部门正常工作开展，包括工资支出和公用经费支出足额保障。</w:t>
      </w:r>
    </w:p>
    <w:p>
      <w:pPr>
        <w:spacing w:line="590" w:lineRule="exact"/>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确保重点支出安排。</w:t>
      </w:r>
      <w:r>
        <w:rPr>
          <w:rFonts w:hint="default" w:ascii="Times New Roman" w:hAnsi="Times New Roman" w:eastAsia="仿宋_GB2312" w:cs="Times New Roman"/>
          <w:sz w:val="32"/>
          <w:szCs w:val="32"/>
          <w:lang w:eastAsia="zh-CN"/>
        </w:rPr>
        <w:t>部门履行主要职责或完成重点任务保障有力，分地区分配资金公平公正、重点突出。我乡重点项目支出资金均优先安排，及时划拨。</w:t>
      </w:r>
    </w:p>
    <w:p>
      <w:pPr>
        <w:spacing w:line="590" w:lineRule="exact"/>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严控“三公经费”支出。</w:t>
      </w:r>
      <w:r>
        <w:rPr>
          <w:rFonts w:hint="default" w:ascii="Times New Roman" w:hAnsi="Times New Roman" w:eastAsia="仿宋_GB2312" w:cs="Times New Roman"/>
          <w:sz w:val="32"/>
          <w:szCs w:val="32"/>
          <w:lang w:eastAsia="zh-CN"/>
        </w:rPr>
        <w:t>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年三公经费年初预算数为200000元。其中，公务用车运行维护费为100000元，公务接待费为100000元。按照“三公经费”只减不增的要求，确保201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年部门“三公经费”预算数小于上年预算数。</w:t>
      </w:r>
    </w:p>
    <w:p>
      <w:pPr>
        <w:spacing w:line="590" w:lineRule="exact"/>
        <w:ind w:firstLine="640" w:firstLineChars="200"/>
        <w:jc w:val="both"/>
        <w:rPr>
          <w:rFonts w:hint="default" w:ascii="Times New Roman" w:hAnsi="Times New Roman" w:eastAsia="仿宋_GB2312" w:cs="Times New Roman"/>
          <w:b/>
          <w:bCs/>
          <w:sz w:val="32"/>
          <w:szCs w:val="32"/>
          <w:lang w:eastAsia="zh-CN"/>
        </w:rPr>
      </w:pPr>
      <w:r>
        <w:rPr>
          <w:rFonts w:hint="eastAsia" w:ascii="方正楷体_GBK" w:hAnsi="方正楷体_GBK" w:eastAsia="方正楷体_GBK" w:cs="方正楷体_GBK"/>
          <w:b w:val="0"/>
          <w:bCs w:val="0"/>
          <w:sz w:val="32"/>
          <w:szCs w:val="32"/>
          <w:lang w:eastAsia="zh-CN"/>
        </w:rPr>
        <w:t>（二）预算执行有效</w:t>
      </w:r>
    </w:p>
    <w:p>
      <w:pPr>
        <w:spacing w:line="590" w:lineRule="exact"/>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严格预算执行。</w:t>
      </w:r>
      <w:r>
        <w:rPr>
          <w:rFonts w:hint="default" w:ascii="Times New Roman" w:hAnsi="Times New Roman" w:eastAsia="仿宋_GB2312" w:cs="Times New Roman"/>
          <w:sz w:val="32"/>
          <w:szCs w:val="32"/>
          <w:lang w:eastAsia="zh-CN"/>
        </w:rPr>
        <w:t>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年年初收入预算数16247854.15，预算调整数109303693.65，年终决算数109303693.65，201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年全</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eastAsia="zh-CN"/>
        </w:rPr>
        <w:t>收入预决算差额为</w:t>
      </w:r>
      <w:r>
        <w:rPr>
          <w:rFonts w:hint="eastAsia" w:ascii="Times New Roman" w:hAnsi="Times New Roman" w:eastAsia="仿宋_GB2312" w:cs="Times New Roman"/>
          <w:sz w:val="32"/>
          <w:szCs w:val="32"/>
          <w:lang w:val="en-US" w:eastAsia="zh-CN"/>
        </w:rPr>
        <w:t>93055839.5</w:t>
      </w:r>
      <w:r>
        <w:rPr>
          <w:rFonts w:hint="default" w:ascii="Times New Roman" w:hAnsi="Times New Roman" w:eastAsia="仿宋_GB2312" w:cs="Times New Roman"/>
          <w:sz w:val="32"/>
          <w:szCs w:val="32"/>
          <w:lang w:eastAsia="zh-CN"/>
        </w:rPr>
        <w:t>元，变动率为</w:t>
      </w:r>
      <w:r>
        <w:rPr>
          <w:rFonts w:hint="eastAsia" w:ascii="Times New Roman" w:hAnsi="Times New Roman" w:eastAsia="仿宋_GB2312" w:cs="Times New Roman"/>
          <w:sz w:val="32"/>
          <w:szCs w:val="32"/>
          <w:lang w:val="en-US" w:eastAsia="zh-CN"/>
        </w:rPr>
        <w:t>572.73</w:t>
      </w:r>
      <w:r>
        <w:rPr>
          <w:rFonts w:hint="default" w:ascii="Times New Roman" w:hAnsi="Times New Roman" w:eastAsia="仿宋_GB2312" w:cs="Times New Roman"/>
          <w:sz w:val="32"/>
          <w:szCs w:val="32"/>
          <w:lang w:eastAsia="zh-CN"/>
        </w:rPr>
        <w:t>%，预决算变动的主要原因包括：一是年初收入预算只包括基本支出中人员经费与日常公用经费，收入决算包含基本收入中人员经费、日常公用经费，以及项目收入中基本建设收入与行政事业类项目收入。二是本年新招录公务员6名,人员经费增加。三是本年职工工资正常晋升，各种津贴补贴、基本工资等人员经费增长较多，导致财政拨款收入及相应的基本支出增长较多。四是年初项目预算减少，项目建设中上级专项配套资金较多，导致本年度项目支出大幅增长。</w:t>
      </w:r>
    </w:p>
    <w:p>
      <w:pPr>
        <w:keepNext w:val="0"/>
        <w:keepLines w:val="0"/>
        <w:pageBreakBefore w:val="0"/>
        <w:numPr>
          <w:ilvl w:val="0"/>
          <w:numId w:val="0"/>
        </w:numPr>
        <w:kinsoku/>
        <w:wordWrap/>
        <w:overflowPunct/>
        <w:topLinePunct w:val="0"/>
        <w:bidi w:val="0"/>
        <w:adjustRightInd/>
        <w:snapToGrid w:val="0"/>
        <w:spacing w:line="360" w:lineRule="auto"/>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eastAsia="zh-CN"/>
        </w:rPr>
        <w:t>严控结转结余。</w:t>
      </w:r>
      <w:r>
        <w:rPr>
          <w:rFonts w:hint="default" w:ascii="Times New Roman" w:hAnsi="Times New Roman" w:eastAsia="仿宋_GB2312" w:cs="Times New Roman"/>
          <w:b w:val="0"/>
          <w:bCs w:val="0"/>
          <w:sz w:val="32"/>
          <w:szCs w:val="32"/>
          <w:lang w:eastAsia="zh-CN"/>
        </w:rPr>
        <w:t>结转结余控制目标为不超过上年结转结余数。201</w:t>
      </w:r>
      <w:r>
        <w:rPr>
          <w:rFonts w:hint="eastAsia" w:ascii="Times New Roman" w:hAnsi="Times New Roman" w:eastAsia="仿宋_GB2312" w:cs="Times New Roman"/>
          <w:b w:val="0"/>
          <w:bCs w:val="0"/>
          <w:sz w:val="32"/>
          <w:szCs w:val="32"/>
          <w:lang w:val="en-US" w:eastAsia="zh-CN"/>
        </w:rPr>
        <w:t>9</w:t>
      </w:r>
      <w:r>
        <w:rPr>
          <w:rFonts w:hint="default" w:ascii="Times New Roman" w:hAnsi="Times New Roman" w:eastAsia="仿宋_GB2312" w:cs="Times New Roman"/>
          <w:b w:val="0"/>
          <w:bCs w:val="0"/>
          <w:sz w:val="32"/>
          <w:szCs w:val="32"/>
          <w:lang w:eastAsia="zh-CN"/>
        </w:rPr>
        <w:t>年资金共结余</w:t>
      </w:r>
      <w:r>
        <w:rPr>
          <w:rFonts w:hint="eastAsia" w:ascii="Times New Roman" w:hAnsi="Times New Roman" w:eastAsia="仿宋_GB2312" w:cs="Times New Roman"/>
          <w:b w:val="0"/>
          <w:bCs w:val="0"/>
          <w:sz w:val="32"/>
          <w:szCs w:val="32"/>
          <w:lang w:val="en-US" w:eastAsia="zh-CN"/>
        </w:rPr>
        <w:t>15251794.59</w:t>
      </w:r>
      <w:r>
        <w:rPr>
          <w:rFonts w:hint="default" w:ascii="Times New Roman" w:hAnsi="Times New Roman" w:eastAsia="仿宋_GB2312" w:cs="Times New Roman"/>
          <w:b w:val="0"/>
          <w:bCs w:val="0"/>
          <w:sz w:val="32"/>
          <w:szCs w:val="32"/>
          <w:lang w:eastAsia="zh-CN"/>
        </w:rPr>
        <w:t>元。</w:t>
      </w:r>
      <w:r>
        <w:rPr>
          <w:rFonts w:hint="eastAsia" w:ascii="Times New Roman" w:hAnsi="Times New Roman" w:eastAsia="仿宋_GB2312" w:cs="Times New Roman"/>
          <w:b w:val="0"/>
          <w:bCs w:val="0"/>
          <w:sz w:val="32"/>
          <w:szCs w:val="32"/>
          <w:lang w:eastAsia="zh-CN"/>
        </w:rPr>
        <w:t>其中经费结余：</w:t>
      </w:r>
      <w:r>
        <w:rPr>
          <w:rFonts w:hint="eastAsia" w:ascii="Times New Roman" w:hAnsi="Times New Roman" w:eastAsia="仿宋_GB2312" w:cs="Times New Roman"/>
          <w:b w:val="0"/>
          <w:bCs w:val="0"/>
          <w:sz w:val="32"/>
          <w:szCs w:val="32"/>
          <w:lang w:val="en-US" w:eastAsia="zh-CN"/>
        </w:rPr>
        <w:t>13602103.05</w:t>
      </w:r>
      <w:r>
        <w:rPr>
          <w:rFonts w:hint="default" w:ascii="Times New Roman" w:hAnsi="Times New Roman" w:eastAsia="仿宋_GB2312" w:cs="Times New Roman"/>
          <w:b w:val="0"/>
          <w:bCs w:val="0"/>
          <w:sz w:val="32"/>
          <w:szCs w:val="32"/>
          <w:lang w:eastAsia="zh-CN"/>
        </w:rPr>
        <w:t>元</w:t>
      </w:r>
      <w:r>
        <w:rPr>
          <w:rFonts w:hint="eastAsia" w:ascii="Times New Roman" w:hAnsi="Times New Roman" w:eastAsia="仿宋_GB2312" w:cs="Times New Roman"/>
          <w:b w:val="0"/>
          <w:bCs w:val="0"/>
          <w:sz w:val="32"/>
          <w:szCs w:val="32"/>
          <w:lang w:eastAsia="zh-CN"/>
        </w:rPr>
        <w:t>；项目经费结余</w:t>
      </w:r>
      <w:r>
        <w:rPr>
          <w:rFonts w:hint="eastAsia" w:ascii="Times New Roman" w:hAnsi="Times New Roman" w:eastAsia="仿宋_GB2312" w:cs="Times New Roman"/>
          <w:b w:val="0"/>
          <w:bCs w:val="0"/>
          <w:sz w:val="32"/>
          <w:szCs w:val="32"/>
          <w:lang w:val="en-US" w:eastAsia="zh-CN"/>
        </w:rPr>
        <w:t>1649691.54元</w:t>
      </w:r>
      <w:r>
        <w:rPr>
          <w:rFonts w:hint="eastAsia"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lang w:eastAsia="zh-CN"/>
        </w:rPr>
        <w:t>。由于</w:t>
      </w:r>
      <w:r>
        <w:rPr>
          <w:rFonts w:hint="default" w:ascii="Times New Roman" w:hAnsi="Times New Roman" w:eastAsia="仿宋_GB2312" w:cs="Times New Roman"/>
          <w:sz w:val="32"/>
          <w:szCs w:val="32"/>
        </w:rPr>
        <w:t>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部分项目资金拨入时间较晚，基础设施等建设项目经过招投标等前期准备工作后已进入冬季冰冻期无法实施，导致相关项目无法按期拨款支出形成结转结余</w:t>
      </w:r>
      <w:r>
        <w:rPr>
          <w:rFonts w:hint="default" w:ascii="Times New Roman" w:hAnsi="Times New Roman" w:eastAsia="仿宋_GB2312" w:cs="Times New Roman"/>
          <w:sz w:val="32"/>
          <w:szCs w:val="32"/>
        </w:rPr>
        <w:t>。</w:t>
      </w:r>
    </w:p>
    <w:p>
      <w:pPr>
        <w:keepNext w:val="0"/>
        <w:keepLines w:val="0"/>
        <w:pageBreakBefore w:val="0"/>
        <w:numPr>
          <w:ilvl w:val="0"/>
          <w:numId w:val="0"/>
        </w:numPr>
        <w:kinsoku/>
        <w:wordWrap/>
        <w:overflowPunct/>
        <w:topLinePunct w:val="0"/>
        <w:bidi w:val="0"/>
        <w:adjustRightInd/>
        <w:snapToGrid w:val="0"/>
        <w:spacing w:line="360" w:lineRule="auto"/>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项目组织良好。</w:t>
      </w:r>
      <w:r>
        <w:rPr>
          <w:rFonts w:hint="default" w:ascii="Times New Roman" w:hAnsi="Times New Roman" w:eastAsia="仿宋_GB2312" w:cs="Times New Roman"/>
          <w:sz w:val="32"/>
          <w:szCs w:val="32"/>
          <w:lang w:eastAsia="zh-CN"/>
        </w:rPr>
        <w:t>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eastAsia="zh-CN"/>
        </w:rPr>
        <w:t>所有项目支出均安排有相应部门对接管理，资金使用均严格执行相关审批流程，及时组织进行绩效自评</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对发现的问题及时整改。</w:t>
      </w:r>
    </w:p>
    <w:p>
      <w:pPr>
        <w:keepNext w:val="0"/>
        <w:keepLines w:val="0"/>
        <w:pageBreakBefore w:val="0"/>
        <w:numPr>
          <w:ilvl w:val="0"/>
          <w:numId w:val="0"/>
        </w:numPr>
        <w:kinsoku/>
        <w:wordWrap/>
        <w:overflowPunct/>
        <w:topLinePunct w:val="0"/>
        <w:bidi w:val="0"/>
        <w:adjustRightInd/>
        <w:snapToGrid w:val="0"/>
        <w:spacing w:line="360" w:lineRule="auto"/>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“三公经费”节支增效。</w:t>
      </w:r>
      <w:r>
        <w:rPr>
          <w:rFonts w:hint="default" w:ascii="Times New Roman" w:hAnsi="Times New Roman" w:eastAsia="仿宋_GB2312" w:cs="Times New Roman"/>
          <w:sz w:val="32"/>
          <w:szCs w:val="32"/>
          <w:lang w:eastAsia="zh-CN"/>
        </w:rPr>
        <w:t>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年三公经费年末统计数为</w:t>
      </w:r>
      <w:r>
        <w:rPr>
          <w:rFonts w:hint="eastAsia" w:ascii="Times New Roman" w:hAnsi="Times New Roman" w:eastAsia="仿宋_GB2312" w:cs="Times New Roman"/>
          <w:sz w:val="32"/>
          <w:szCs w:val="32"/>
          <w:lang w:val="en-US" w:eastAsia="zh-CN"/>
        </w:rPr>
        <w:t xml:space="preserve"> 112000</w:t>
      </w:r>
      <w:r>
        <w:rPr>
          <w:rFonts w:hint="default" w:ascii="Times New Roman" w:hAnsi="Times New Roman" w:eastAsia="仿宋_GB2312" w:cs="Times New Roman"/>
          <w:sz w:val="32"/>
          <w:szCs w:val="32"/>
          <w:lang w:eastAsia="zh-CN"/>
        </w:rPr>
        <w:t>元。其中，公务用车运行维护费为</w:t>
      </w:r>
      <w:r>
        <w:rPr>
          <w:rFonts w:hint="eastAsia" w:ascii="Times New Roman" w:hAnsi="Times New Roman" w:eastAsia="仿宋_GB2312" w:cs="Times New Roman"/>
          <w:sz w:val="32"/>
          <w:szCs w:val="32"/>
          <w:lang w:val="en-US" w:eastAsia="zh-CN"/>
        </w:rPr>
        <w:t>50000</w:t>
      </w:r>
      <w:r>
        <w:rPr>
          <w:rFonts w:hint="default" w:ascii="Times New Roman" w:hAnsi="Times New Roman" w:eastAsia="仿宋_GB2312" w:cs="Times New Roman"/>
          <w:sz w:val="32"/>
          <w:szCs w:val="32"/>
          <w:lang w:eastAsia="zh-CN"/>
        </w:rPr>
        <w:t>元，公务接待费为</w:t>
      </w:r>
      <w:r>
        <w:rPr>
          <w:rFonts w:hint="eastAsia" w:ascii="Times New Roman" w:hAnsi="Times New Roman" w:eastAsia="仿宋_GB2312" w:cs="Times New Roman"/>
          <w:sz w:val="32"/>
          <w:szCs w:val="32"/>
          <w:lang w:val="en-US" w:eastAsia="zh-CN"/>
        </w:rPr>
        <w:t>62000</w:t>
      </w:r>
      <w:r>
        <w:rPr>
          <w:rFonts w:hint="default" w:ascii="Times New Roman" w:hAnsi="Times New Roman" w:eastAsia="仿宋_GB2312" w:cs="Times New Roman"/>
          <w:sz w:val="32"/>
          <w:szCs w:val="32"/>
          <w:lang w:eastAsia="zh-CN"/>
        </w:rPr>
        <w:t>元，本年度精准扶贫任务繁重，公务用车次数增多，运行维护费增加，三公经费支出总体较上年略有增加。</w:t>
      </w:r>
    </w:p>
    <w:p>
      <w:pPr>
        <w:numPr>
          <w:ilvl w:val="0"/>
          <w:numId w:val="0"/>
        </w:numPr>
        <w:autoSpaceDE w:val="0"/>
        <w:autoSpaceDN w:val="0"/>
        <w:spacing w:line="590" w:lineRule="exact"/>
        <w:ind w:left="640" w:leftChars="0" w:right="600" w:rightChars="0"/>
        <w:jc w:val="both"/>
        <w:textAlignment w:val="baseline"/>
        <w:rPr>
          <w:rFonts w:hint="eastAsia"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val="0"/>
          <w:bCs w:val="0"/>
          <w:sz w:val="32"/>
          <w:szCs w:val="32"/>
          <w:lang w:eastAsia="zh-CN"/>
        </w:rPr>
        <w:t>（三）预算管理规范</w:t>
      </w:r>
    </w:p>
    <w:p>
      <w:pPr>
        <w:spacing w:line="590" w:lineRule="exact"/>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管理制度健全。</w:t>
      </w:r>
      <w:r>
        <w:rPr>
          <w:rFonts w:hint="eastAsia" w:ascii="Times New Roman" w:hAnsi="Times New Roman" w:eastAsia="仿宋_GB2312" w:cs="Times New Roman"/>
          <w:b w:val="0"/>
          <w:bCs w:val="0"/>
          <w:sz w:val="32"/>
          <w:szCs w:val="32"/>
          <w:lang w:eastAsia="zh-CN"/>
        </w:rPr>
        <w:t>叶枝镇</w:t>
      </w:r>
      <w:r>
        <w:rPr>
          <w:rFonts w:hint="default" w:ascii="Times New Roman" w:hAnsi="Times New Roman" w:eastAsia="仿宋_GB2312" w:cs="Times New Roman"/>
          <w:sz w:val="32"/>
          <w:szCs w:val="32"/>
          <w:lang w:eastAsia="zh-CN"/>
        </w:rPr>
        <w:t>人民政府财政资金支出严格执行《中华人民共和国会计法》、《中华人民共和国预算法》等国家、省、州、县相关财经律法规和管理制度的规定，同时结合我乡的实际情况，制定了《维西县</w:t>
      </w:r>
      <w:r>
        <w:rPr>
          <w:rFonts w:hint="eastAsia" w:ascii="Times New Roman" w:hAnsi="Times New Roman" w:eastAsia="仿宋_GB2312" w:cs="Times New Roman"/>
          <w:sz w:val="32"/>
          <w:szCs w:val="32"/>
          <w:lang w:eastAsia="zh-CN"/>
        </w:rPr>
        <w:t>叶枝镇</w:t>
      </w:r>
      <w:r>
        <w:rPr>
          <w:rFonts w:hint="default" w:ascii="Times New Roman" w:hAnsi="Times New Roman" w:eastAsia="仿宋_GB2312" w:cs="Times New Roman"/>
          <w:sz w:val="32"/>
          <w:szCs w:val="32"/>
          <w:lang w:eastAsia="zh-CN"/>
        </w:rPr>
        <w:t>人民政府预算管理制度》，对我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eastAsia="zh-CN"/>
        </w:rPr>
        <w:t>预算的编制原则、方法、程序、具体步骤等做了具体而详实的规定。</w:t>
      </w:r>
    </w:p>
    <w:p>
      <w:pPr>
        <w:spacing w:line="590" w:lineRule="exact"/>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信息公开及时完整。</w:t>
      </w:r>
      <w:r>
        <w:rPr>
          <w:rFonts w:hint="default" w:ascii="Times New Roman" w:hAnsi="Times New Roman" w:eastAsia="仿宋_GB2312" w:cs="Times New Roman"/>
          <w:sz w:val="32"/>
          <w:szCs w:val="32"/>
          <w:lang w:eastAsia="zh-CN"/>
        </w:rPr>
        <w:t>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eastAsia="zh-CN"/>
        </w:rPr>
        <w:t>均按照政府信息公开的相关要求对201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年预决算信息及“三公经费”预决算信息及时公开。</w:t>
      </w:r>
    </w:p>
    <w:p>
      <w:pPr>
        <w:spacing w:line="590" w:lineRule="exact"/>
        <w:ind w:firstLine="643"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资产管理使用规范有效。</w:t>
      </w:r>
      <w:r>
        <w:rPr>
          <w:rFonts w:hint="default" w:ascii="Times New Roman" w:hAnsi="Times New Roman" w:eastAsia="仿宋_GB2312" w:cs="Times New Roman"/>
          <w:sz w:val="32"/>
          <w:szCs w:val="32"/>
          <w:lang w:eastAsia="zh-CN"/>
        </w:rPr>
        <w:t>截至201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年末，我单位固定资产期末账面数原值</w:t>
      </w:r>
      <w:r>
        <w:rPr>
          <w:rFonts w:hint="eastAsia" w:ascii="Times New Roman" w:hAnsi="Times New Roman" w:eastAsia="仿宋_GB2312" w:cs="Times New Roman"/>
          <w:sz w:val="32"/>
          <w:szCs w:val="32"/>
          <w:lang w:val="en-US" w:eastAsia="zh-CN"/>
        </w:rPr>
        <w:t>16723333.23</w:t>
      </w:r>
      <w:r>
        <w:rPr>
          <w:rFonts w:hint="default" w:ascii="Times New Roman" w:hAnsi="Times New Roman" w:eastAsia="仿宋_GB2312" w:cs="Times New Roman"/>
          <w:sz w:val="32"/>
          <w:szCs w:val="32"/>
          <w:lang w:eastAsia="zh-CN"/>
        </w:rPr>
        <w:t>元，其中：土地、房屋及构筑物14329835.24元，占固定资产的8</w:t>
      </w:r>
      <w:r>
        <w:rPr>
          <w:rFonts w:hint="eastAsia" w:ascii="Times New Roman" w:hAnsi="Times New Roman" w:eastAsia="仿宋_GB2312" w:cs="Times New Roman"/>
          <w:sz w:val="32"/>
          <w:szCs w:val="32"/>
          <w:lang w:val="en-US" w:eastAsia="zh-CN"/>
        </w:rPr>
        <w:t>5.69</w:t>
      </w:r>
      <w:r>
        <w:rPr>
          <w:rFonts w:hint="default" w:ascii="Times New Roman" w:hAnsi="Times New Roman" w:eastAsia="仿宋_GB2312" w:cs="Times New Roman"/>
          <w:sz w:val="32"/>
          <w:szCs w:val="32"/>
          <w:lang w:eastAsia="zh-CN"/>
        </w:rPr>
        <w:t>%；通用设备1656251元，占</w:t>
      </w:r>
      <w:r>
        <w:rPr>
          <w:rFonts w:hint="eastAsia" w:ascii="Times New Roman" w:hAnsi="Times New Roman" w:eastAsia="仿宋_GB2312" w:cs="Times New Roman"/>
          <w:sz w:val="32"/>
          <w:szCs w:val="32"/>
          <w:lang w:val="en-US" w:eastAsia="zh-CN"/>
        </w:rPr>
        <w:t>9.9</w:t>
      </w:r>
      <w:r>
        <w:rPr>
          <w:rFonts w:hint="default" w:ascii="Times New Roman" w:hAnsi="Times New Roman" w:eastAsia="仿宋_GB2312" w:cs="Times New Roman"/>
          <w:sz w:val="32"/>
          <w:szCs w:val="32"/>
          <w:lang w:eastAsia="zh-CN"/>
        </w:rPr>
        <w:t>%；专用设备41496元，占0.2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%；家具、用具、装具及动植物695754.99元，占4.</w:t>
      </w:r>
      <w:r>
        <w:rPr>
          <w:rFonts w:hint="eastAsia"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lang w:eastAsia="zh-CN"/>
        </w:rPr>
        <w:t>%。固定资产保存完整，资产配置合理，资产账务管理合规，账实相符；资产有偿使用及处置收入及时足额上缴，处置有专门的人员经过相关程序处理。</w:t>
      </w:r>
    </w:p>
    <w:p>
      <w:pPr>
        <w:spacing w:line="590" w:lineRule="exact"/>
        <w:ind w:firstLine="640" w:firstLineChars="200"/>
        <w:jc w:val="both"/>
        <w:rPr>
          <w:rFonts w:hint="default" w:ascii="Times New Roman" w:hAnsi="Times New Roman" w:eastAsia="仿宋_GB2312" w:cs="Times New Roman"/>
          <w:b/>
          <w:bCs/>
          <w:sz w:val="32"/>
          <w:szCs w:val="32"/>
          <w:lang w:eastAsia="zh-CN"/>
        </w:rPr>
      </w:pPr>
      <w:r>
        <w:rPr>
          <w:rFonts w:hint="eastAsia" w:ascii="方正楷体_GBK" w:hAnsi="方正楷体_GBK" w:eastAsia="方正楷体_GBK" w:cs="方正楷体_GBK"/>
          <w:b w:val="0"/>
          <w:bCs w:val="0"/>
          <w:sz w:val="32"/>
          <w:szCs w:val="32"/>
          <w:lang w:eastAsia="zh-CN"/>
        </w:rPr>
        <w:t>（四）支出效益明显</w:t>
      </w:r>
    </w:p>
    <w:p>
      <w:pPr>
        <w:spacing w:line="590" w:lineRule="exact"/>
        <w:ind w:firstLine="643" w:firstLineChars="200"/>
        <w:jc w:val="both"/>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经济效益。</w:t>
      </w:r>
      <w:r>
        <w:rPr>
          <w:rFonts w:hint="default" w:ascii="Times New Roman" w:hAnsi="Times New Roman" w:eastAsia="仿宋_GB2312" w:cs="Times New Roman"/>
          <w:color w:val="auto"/>
          <w:sz w:val="32"/>
          <w:szCs w:val="32"/>
          <w:highlight w:val="none"/>
          <w:lang w:eastAsia="zh-CN"/>
        </w:rPr>
        <w:t xml:space="preserve">实现全乡地区生产总值达6762.86万元，增长5.3%；城镇常住居民人均可支配收入达8609元，增长10%；农村常住居民人均纯收入达8961元，增长6.5%；城镇登记失业率控制在4.5%以内。                                                                                                                                                                                                          </w:t>
      </w:r>
    </w:p>
    <w:p>
      <w:pPr>
        <w:spacing w:line="240" w:lineRule="atLeast"/>
        <w:ind w:firstLine="643" w:firstLineChars="200"/>
        <w:jc w:val="both"/>
        <w:rPr>
          <w:rFonts w:hint="default" w:ascii="Times New Roman" w:hAnsi="Times New Roman" w:eastAsia="仿宋_GB2312" w:cs="Times New Roman"/>
          <w:b w:val="0"/>
          <w:bCs/>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社会效益。</w:t>
      </w:r>
      <w:r>
        <w:rPr>
          <w:rFonts w:hint="default" w:ascii="Times New Roman" w:hAnsi="Times New Roman" w:eastAsia="仿宋_GB2312" w:cs="Times New Roman"/>
          <w:b w:val="0"/>
          <w:bCs/>
          <w:color w:val="auto"/>
          <w:sz w:val="32"/>
          <w:szCs w:val="32"/>
          <w:highlight w:val="none"/>
          <w:lang w:eastAsia="zh-CN"/>
        </w:rPr>
        <w:t>2019年共安排第一批统筹整合涉农扶贫产业资金1124.96万元和第五批统筹整合涉农资金1146.15万元布局种养殖产业，两批产业扶持资金共计2271.11万元，与去年产业投入1408.8万元相比增加投入862.31万元，投入增长率为62%，根据第一批统筹整合涉农资金要求实施种植类产业9项，种植面积9592.7亩，第五批统筹整合涉农资金产业项目种植类其他经济作物1项800亩，养殖类6项共计13631（羽头只箱），其中新增养蜂项1300箱，玉叶农业发展有限公司肉兔养殖已进入生产轨道。叶枝镇2019年完成2018-2019年四类重点对象农村危房改造311户的信息统计、上报、录入、施工、竣工验收，资金兑付等工作；认定并实施非四类重点对象危房251户，其中142户已完成验收并兑付资金；实施2018年人居环境项目677户，竣工验收并兑付资金332户；完成叶枝镇住房质量提升项目1537户。2019年实施易地扶贫搬迁32户149人，其中建档立卡贫困户17户70人，随迁户17户79人，加大对集中安置点的就业和产业扶持力度，通过直接提供就业岗位、产业受益分红等方式，使贫困人口能够在产业发展中持续增收。</w:t>
      </w:r>
    </w:p>
    <w:p>
      <w:pPr>
        <w:spacing w:line="240" w:lineRule="atLeast"/>
        <w:ind w:firstLine="643"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生态效益。</w:t>
      </w:r>
      <w:r>
        <w:rPr>
          <w:rFonts w:hint="default" w:ascii="Times New Roman" w:hAnsi="Times New Roman" w:eastAsia="仿宋_GB2312" w:cs="Times New Roman"/>
          <w:color w:val="auto"/>
          <w:sz w:val="32"/>
          <w:szCs w:val="32"/>
          <w:highlight w:val="none"/>
        </w:rPr>
        <w:t>坚持扶贫开发与生态保护并重，坚持林业产业扶贫与林业生态扶贫有机结合，坚持林业生态效益、经济效益和社会效益协调发展，2019年实施退耕还林还草2300.43亩，解决生态护林员109人，落实好生态效益补偿资金，兑现新一轮退耕还林资金，争取生态护林员指标，开展林下种植发挥林下资源优势，最大限度用好生态扶贫政策。一是认真开展环境综合整治工作。积极进行生态文明绿色规划，完善各相关站所、各行政村主体功能区规划，合理布局全镇生产、生活和生态空间，按照因地制宜、突出特色等要求不断推进我镇美丽乡村建设。二是认真加强基础设施建设。加快生活污水处理设施建设和垃圾处理设施建设，加快污水管网建设任务，全面整改部分村管网配套不完善、截污不彻底等问题，通过配垃圾车、垃圾桶、垃圾池的方式加强垃圾处理工作，提升我镇的环境承载力。三是认真开展春季各项营造林工作。完成全镇义务植树18万株，完成全镇各年度15650亩28万株新一轮退耕还林新造林及补植补种工作，完成全镇2018年度石漠化综合治理工程补植补造工作，补植云杉10万株，完成2000亩花椒基地建设，种植花椒10万株，完成异地造林4000亩、60万株，公益林造林2000亩、24万株。四是认真开展森林管护工作。天然林管护人员已全部落实到位，并把每个管护人员落实到各村、组、山头地块，并签订管护责任合同，把每个管护人员责任工作落实到位、明细分工。在2019年初分别与各村长期护林员8人、管护人员49人及生态护林员209人签订森林管护合同，开展培训会议11场次，培训内容涉及林业法律法规、营造林技术、森林防火、野生动物及湿地资源保护、森林病虫害防治等方面，目前我镇做到零火情、零破坏。五是河长“清河行动”有序推进。叶枝镇及时对涉及各村的河流进行清理，做好清理河道内的垃圾、废弃物，做好河面、河岸清洁工作，保证河道的干净。在流经城镇的重要河段、空间统筹开展规划建绿、拆违增绿、破硬增绿、见缝插绿、留白增绿等工程建设，对德维二级公路等公路周边河段开展绿化提升工作。</w:t>
      </w:r>
    </w:p>
    <w:p>
      <w:pPr>
        <w:spacing w:line="240" w:lineRule="atLeast"/>
        <w:ind w:firstLine="640" w:firstLineChars="200"/>
        <w:jc w:val="both"/>
        <w:rPr>
          <w:rFonts w:hint="default" w:ascii="Times New Roman" w:hAnsi="Times New Roman" w:eastAsia="仿宋_GB2312" w:cs="Times New Roman"/>
          <w:b/>
          <w:bCs/>
          <w:color w:val="auto"/>
          <w:sz w:val="32"/>
          <w:szCs w:val="32"/>
          <w:highlight w:val="none"/>
          <w:lang w:eastAsia="zh-CN"/>
        </w:rPr>
      </w:pPr>
      <w:r>
        <w:rPr>
          <w:rFonts w:hint="eastAsia" w:ascii="方正黑体_GBK" w:hAnsi="方正黑体_GBK" w:eastAsia="方正黑体_GBK" w:cs="方正黑体_GBK"/>
          <w:b w:val="0"/>
          <w:bCs w:val="0"/>
          <w:color w:val="auto"/>
          <w:sz w:val="32"/>
          <w:szCs w:val="32"/>
          <w:highlight w:val="none"/>
          <w:lang w:eastAsia="zh-CN"/>
        </w:rPr>
        <w:t>三、存在的问题及整改</w:t>
      </w:r>
      <w:bookmarkStart w:id="0" w:name="_GoBack"/>
      <w:bookmarkEnd w:id="0"/>
      <w:r>
        <w:rPr>
          <w:rFonts w:hint="eastAsia" w:ascii="方正黑体_GBK" w:hAnsi="方正黑体_GBK" w:eastAsia="方正黑体_GBK" w:cs="方正黑体_GBK"/>
          <w:b w:val="0"/>
          <w:bCs w:val="0"/>
          <w:color w:val="auto"/>
          <w:sz w:val="32"/>
          <w:szCs w:val="32"/>
          <w:highlight w:val="none"/>
          <w:lang w:eastAsia="zh-CN"/>
        </w:rPr>
        <w:t>情况</w:t>
      </w:r>
    </w:p>
    <w:p>
      <w:pPr>
        <w:spacing w:line="240" w:lineRule="atLeast"/>
        <w:ind w:firstLine="640" w:firstLineChars="200"/>
        <w:jc w:val="both"/>
        <w:rPr>
          <w:rFonts w:hint="default" w:ascii="Times New Roman" w:hAnsi="Times New Roman" w:eastAsia="仿宋_GB2312" w:cs="Times New Roman"/>
          <w:b/>
          <w:bCs/>
          <w:color w:val="auto"/>
          <w:sz w:val="32"/>
          <w:szCs w:val="32"/>
          <w:highlight w:val="none"/>
          <w:lang w:eastAsia="zh-CN"/>
        </w:rPr>
      </w:pPr>
      <w:r>
        <w:rPr>
          <w:rFonts w:hint="eastAsia" w:ascii="方正楷体_GBK" w:hAnsi="方正楷体_GBK" w:eastAsia="方正楷体_GBK" w:cs="方正楷体_GBK"/>
          <w:b w:val="0"/>
          <w:bCs w:val="0"/>
          <w:color w:val="auto"/>
          <w:sz w:val="32"/>
          <w:szCs w:val="32"/>
          <w:highlight w:val="none"/>
          <w:lang w:eastAsia="zh-CN"/>
        </w:rPr>
        <w:t>（一）存在的问题</w:t>
      </w:r>
    </w:p>
    <w:p>
      <w:pPr>
        <w:spacing w:line="240" w:lineRule="atLeas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发展不平衡、不充分的问题依然突出；经济总量小、产业结构单一、质量效益不高的问题依然明显；基础设施建设相对滞后、基本公共服务保障能力弱，贫困程度深，脱贫攻坚任务艰巨繁重。</w:t>
      </w:r>
    </w:p>
    <w:p>
      <w:pPr>
        <w:spacing w:line="240" w:lineRule="atLeast"/>
        <w:ind w:firstLine="640" w:firstLineChars="200"/>
        <w:jc w:val="both"/>
        <w:rPr>
          <w:rFonts w:hint="eastAsia" w:ascii="方正楷体_GBK" w:hAnsi="方正楷体_GBK" w:eastAsia="方正楷体_GBK" w:cs="方正楷体_GBK"/>
          <w:b w:val="0"/>
          <w:bCs w:val="0"/>
          <w:sz w:val="32"/>
          <w:szCs w:val="32"/>
          <w:lang w:eastAsia="zh-CN"/>
        </w:rPr>
      </w:pPr>
      <w:r>
        <w:rPr>
          <w:rFonts w:hint="eastAsia" w:ascii="方正楷体_GBK" w:hAnsi="方正楷体_GBK" w:eastAsia="方正楷体_GBK" w:cs="方正楷体_GBK"/>
          <w:b w:val="0"/>
          <w:bCs w:val="0"/>
          <w:sz w:val="32"/>
          <w:szCs w:val="32"/>
          <w:lang w:eastAsia="zh-CN"/>
        </w:rPr>
        <w:t>（二）整改情况</w:t>
      </w:r>
    </w:p>
    <w:p>
      <w:pPr>
        <w:spacing w:line="240" w:lineRule="atLeast"/>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坚决打好脱贫攻坚战。</w:t>
      </w:r>
      <w:r>
        <w:rPr>
          <w:rFonts w:hint="default" w:ascii="Times New Roman" w:hAnsi="Times New Roman" w:eastAsia="仿宋_GB2312" w:cs="Times New Roman"/>
          <w:sz w:val="32"/>
          <w:szCs w:val="32"/>
        </w:rPr>
        <w:t>始终把脱贫攻坚作为首要的政治任务，坚决把脱贫攻坚责任扛在肩上，把脱贫攻坚质量放在首位，把脱贫攻坚任务落在实处。要继续紧扣“两不愁、三保障”和“6·10”退出标准，继续强化攻坚力度、攻坚措施和攻坚作风，确保如期实现脱贫摘帽。</w:t>
      </w:r>
    </w:p>
    <w:p>
      <w:pPr>
        <w:spacing w:line="240" w:lineRule="atLeast"/>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坚决促进农业产业提质增效。</w:t>
      </w:r>
      <w:r>
        <w:rPr>
          <w:rFonts w:hint="default" w:ascii="Times New Roman" w:hAnsi="Times New Roman" w:eastAsia="仿宋_GB2312" w:cs="Times New Roman"/>
          <w:sz w:val="32"/>
          <w:szCs w:val="32"/>
        </w:rPr>
        <w:t>坚持产业发展和龙头企业相结合，继续培育和壮大本地农业合作经济组织。优化产业发展布局，围绕州县确定的七大优势产业，培育壮大高原特色产业基地，提高农业产业化发展集中度。积极推进“互联网+农业”，引导休闲农业，观光农业、农村电商等新业态发展，着力提高农业发展质量和经营效益。</w:t>
      </w:r>
    </w:p>
    <w:p>
      <w:pPr>
        <w:spacing w:line="240" w:lineRule="atLeast"/>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坚决突出绿色发展主题。</w:t>
      </w:r>
      <w:r>
        <w:rPr>
          <w:rFonts w:hint="default" w:ascii="Times New Roman" w:hAnsi="Times New Roman" w:eastAsia="仿宋_GB2312" w:cs="Times New Roman"/>
          <w:sz w:val="32"/>
          <w:szCs w:val="32"/>
        </w:rPr>
        <w:t>牢固树立绿水青山就是金山银山的理念，全面加强生态文明建设，坚守生态底线，着力打造山青、水绿、天蓝的山水巴迪。认真实施新一轮退耕还林、天然林保护、生态效益补偿、人工造林等生态工程，配合实施好石漠化治理项目工程。</w:t>
      </w:r>
    </w:p>
    <w:p>
      <w:pPr>
        <w:spacing w:line="240" w:lineRule="atLeast"/>
        <w:ind w:firstLine="960" w:firstLineChars="300"/>
        <w:jc w:val="righ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叶枝镇人民政府</w:t>
      </w:r>
    </w:p>
    <w:p>
      <w:pPr>
        <w:spacing w:line="240" w:lineRule="atLeast"/>
        <w:ind w:firstLine="640" w:firstLineChars="200"/>
        <w:jc w:val="both"/>
        <w:rPr>
          <w:rFonts w:hint="default" w:ascii="Times New Roman" w:hAnsi="Times New Roman" w:eastAsia="仿宋_GB2312" w:cs="Times New Roman"/>
          <w:sz w:val="32"/>
          <w:szCs w:val="32"/>
        </w:rPr>
      </w:pP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DA50BA"/>
    <w:multiLevelType w:val="singleLevel"/>
    <w:tmpl w:val="98DA50BA"/>
    <w:lvl w:ilvl="0" w:tentative="0">
      <w:start w:val="1"/>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8B7726"/>
    <w:rsid w:val="00D31D50"/>
    <w:rsid w:val="06613C58"/>
    <w:rsid w:val="0C3778E7"/>
    <w:rsid w:val="127A6175"/>
    <w:rsid w:val="1F615E5E"/>
    <w:rsid w:val="20C92A46"/>
    <w:rsid w:val="373A3AC8"/>
    <w:rsid w:val="7C9F4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小汤妁@Smile</cp:lastModifiedBy>
  <dcterms:modified xsi:type="dcterms:W3CDTF">2020-08-30T08:00:26Z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