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监督索引号53342300346401400000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lang w:eastAsia="zh-CN"/>
        </w:rPr>
        <w:t>维西</w:t>
      </w:r>
      <w:r>
        <w:rPr>
          <w:rFonts w:hint="eastAsia" w:ascii="方正小标宋简体" w:hAnsi="方正小标宋简体" w:eastAsia="方正小标宋简体" w:cs="方正小标宋简体"/>
          <w:b w:val="0"/>
          <w:bCs w:val="0"/>
          <w:sz w:val="44"/>
          <w:szCs w:val="44"/>
          <w:lang w:val="en-US" w:eastAsia="zh-CN"/>
        </w:rPr>
        <w:t>傈僳族自治</w:t>
      </w:r>
      <w:r>
        <w:rPr>
          <w:rFonts w:hint="eastAsia" w:ascii="方正小标宋简体" w:hAnsi="方正小标宋简体" w:eastAsia="方正小标宋简体" w:cs="方正小标宋简体"/>
          <w:b w:val="0"/>
          <w:bCs w:val="0"/>
          <w:sz w:val="44"/>
          <w:szCs w:val="44"/>
          <w:lang w:eastAsia="zh-CN"/>
        </w:rPr>
        <w:t>县疾控中心</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eastAsia="zh-CN"/>
        </w:rPr>
        <w:t>年预算公开</w:t>
      </w:r>
      <w:r>
        <w:rPr>
          <w:rFonts w:hint="eastAsia" w:ascii="方正小标宋简体" w:hAnsi="方正小标宋简体" w:eastAsia="方正小标宋简体" w:cs="方正小标宋简体"/>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维西县疾控中心</w:t>
      </w:r>
      <w:r>
        <w:rPr>
          <w:rFonts w:hint="eastAsia" w:ascii="黑体" w:hAnsi="黑体" w:eastAsia="黑体"/>
          <w:sz w:val="32"/>
          <w:szCs w:val="32"/>
          <w:lang w:val="en-US" w:eastAsia="zh-CN"/>
        </w:rPr>
        <w:t>2023</w:t>
      </w:r>
      <w:r>
        <w:rPr>
          <w:rFonts w:hint="eastAsia" w:ascii="黑体" w:hAnsi="黑体" w:eastAsia="黑体"/>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四、</w:t>
      </w:r>
      <w:r>
        <w:rPr>
          <w:rFonts w:hint="eastAsia" w:ascii="仿宋_GB2312" w:hAnsi="仿宋_GB2312" w:eastAsia="仿宋_GB2312" w:cs="仿宋_GB2312"/>
          <w:kern w:val="0"/>
          <w:sz w:val="30"/>
          <w:szCs w:val="30"/>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五、</w:t>
      </w:r>
      <w:r>
        <w:rPr>
          <w:rFonts w:hint="eastAsia" w:ascii="仿宋_GB2312" w:hAnsi="仿宋_GB2312" w:eastAsia="仿宋_GB2312" w:cs="仿宋_GB2312"/>
          <w:kern w:val="0"/>
          <w:sz w:val="30"/>
          <w:szCs w:val="30"/>
        </w:rPr>
        <w:t>省对下专项转移支付情况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六、</w:t>
      </w:r>
      <w:r>
        <w:rPr>
          <w:rFonts w:hint="eastAsia" w:ascii="仿宋_GB2312" w:hAnsi="仿宋_GB2312" w:eastAsia="仿宋_GB2312" w:cs="仿宋_GB2312"/>
          <w:kern w:val="0"/>
          <w:sz w:val="30"/>
          <w:szCs w:val="30"/>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0"/>
          <w:szCs w:val="30"/>
        </w:rPr>
      </w:pPr>
      <w:r>
        <w:rPr>
          <w:rFonts w:hint="eastAsia" w:ascii="仿宋_GB2312" w:hAnsi="仿宋_GB2312" w:eastAsia="仿宋_GB2312" w:cs="仿宋_GB2312"/>
          <w:kern w:val="0"/>
          <w:sz w:val="30"/>
          <w:szCs w:val="30"/>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维西县疾控中心</w:t>
      </w:r>
      <w:r>
        <w:rPr>
          <w:rFonts w:hint="eastAsia" w:ascii="黑体" w:hAnsi="黑体" w:eastAsia="黑体"/>
          <w:sz w:val="32"/>
          <w:szCs w:val="32"/>
          <w:lang w:val="en-US" w:eastAsia="zh-CN"/>
        </w:rPr>
        <w:t>2023</w:t>
      </w:r>
      <w:r>
        <w:rPr>
          <w:rFonts w:hint="eastAsia" w:ascii="黑体" w:hAnsi="黑体" w:eastAsia="黑体"/>
          <w:sz w:val="32"/>
          <w:szCs w:val="32"/>
        </w:rPr>
        <w:t>年部门预算表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一、部门财务收支预算总表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二、部门收入预算表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三、部门支出预算表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四、财政拨款收支预算总表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五、一般公共预算支出预算表（按功能科目分类）</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六、一般公共预算“三公”经费支出预算表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七、部门基本支出预算表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八、部门项目支出预算表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九、部门项目绩效目标表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十、政府性基金预算支出预算表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十一、部门政府采购预算表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十二、政府购买服务预算表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十三、省对下转移支付预算表</w:t>
      </w: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十四、省对下转移支付绩效目标表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十五、新增资产配置表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十七、部门项目中期规划预算表</w:t>
      </w:r>
    </w:p>
    <w:p>
      <w:pPr>
        <w:widowControl/>
        <w:jc w:val="left"/>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widowControl/>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widowControl/>
        <w:jc w:val="left"/>
        <w:rPr>
          <w:rFonts w:hint="eastAsia" w:ascii="黑体" w:hAnsi="黑体" w:eastAsia="黑体" w:cs="黑体"/>
          <w:kern w:val="0"/>
          <w:sz w:val="32"/>
          <w:szCs w:val="32"/>
        </w:rPr>
      </w:pPr>
    </w:p>
    <w:p>
      <w:pPr>
        <w:widowControl/>
        <w:jc w:val="center"/>
        <w:rPr>
          <w:rFonts w:hint="eastAsia" w:ascii="方正小标宋简体" w:eastAsia="方正小标宋简体"/>
          <w:kern w:val="0"/>
          <w:sz w:val="44"/>
          <w:szCs w:val="44"/>
        </w:rPr>
      </w:pPr>
      <w:r>
        <w:rPr>
          <w:rFonts w:hint="eastAsia" w:ascii="方正小标宋简体" w:eastAsia="方正小标宋简体"/>
          <w:kern w:val="0"/>
          <w:sz w:val="44"/>
          <w:szCs w:val="44"/>
          <w:lang w:eastAsia="zh-CN"/>
        </w:rPr>
        <w:t>维西县疾控中心2023年部门预算编制说明</w:t>
      </w:r>
    </w:p>
    <w:p>
      <w:pPr>
        <w:widowControl/>
        <w:ind w:firstLine="720" w:firstLineChars="200"/>
        <w:jc w:val="center"/>
        <w:rPr>
          <w:rFonts w:hint="eastAsia" w:ascii="方正小标宋简体" w:eastAsia="方正小标宋简体"/>
          <w:kern w:val="0"/>
          <w:sz w:val="36"/>
          <w:szCs w:val="36"/>
        </w:rPr>
      </w:pP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b/>
          <w:kern w:val="0"/>
          <w:sz w:val="32"/>
          <w:szCs w:val="32"/>
        </w:rPr>
      </w:pPr>
      <w:r>
        <w:rPr>
          <w:rFonts w:hint="eastAsia" w:ascii="楷体_GB2312" w:eastAsia="楷体_GB2312"/>
          <w:kern w:val="0"/>
          <w:sz w:val="32"/>
          <w:szCs w:val="32"/>
        </w:rPr>
        <w:t>（一）部门主要职责</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（1）拟定和指导实施全县急慢性传染病、慢性非传染性疾病、职业病、地方病等疾病的预防控制规划、计划、实施方案、工作规范、标准、防治对策与技术措施。并对实施情况进行质量控制和效果评估。</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（2）建立突发公共卫生事件应急处理运行机制，指导和参与调查处理全县发生的重大传染病疫情、新发传染病、群体性不明原因疾病等突发公共卫生事件。</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（3）开展对影响人群生存环境卫生质量及生命质量的危险因素和食品、职业、环境、放射、学校卫生等卫生学监测、评价，组织开展健康危害因素干预。</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（4）对全县急慢性传染病、地方病、寄生虫病、慢性非传染性疾病、职业病、公害病、学生常见病及意外伤害等发生、分布和发展的规律进行流行病学监测、分析和预测、预报。</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（5）组织开展全县免疫和规划免疫预防接种工作，负责免疫预防的技术指导、效果监测与评价，预防用生物制品的计划、订购、供应及冷链系统的监测与使用管理。</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（6）拟定健康教育工作规划、计划与实施方案，开展健康教育和健康促进工作。</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（7）拟定全县消毒杀虫工作规划、计划和技术措施，组织开展病原媒介生物和消毒杀虫工作效果监测与评价。</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（8）负责全县传染病疫情等突发公共卫生事件及有关公共卫生信息的收集、分析、报告、管理工作。</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（9）承担卫生监测检验、预防性健康检查、健康相关产品的卫生质量检验、鉴定工作。</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（10）指导和参与社区卫生服务、初级卫生保健和改水改厕工作。</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（11）向社会提供相关的预防保健信息、健康咨询和预防医学诊疗等专业技术服务。</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（12）负责全县疾病预防控制业务人员的技术培训、进修和业务指导。</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（13）承担上级卫生行政和业务部门交办的其他事宜。</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（二）机构设置情况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我单位共设置11个内设科室，包括：</w:t>
      </w:r>
      <w:r>
        <w:rPr>
          <w:rFonts w:hint="eastAsia" w:ascii="仿宋_GB2312" w:hAnsi="仿宋_GB2312" w:eastAsia="仿宋_GB2312" w:cs="仿宋_GB2312"/>
          <w:sz w:val="32"/>
          <w:szCs w:val="32"/>
        </w:rPr>
        <w:t>办公室、财务室、地病科、卫生科、性艾科、慢非传科、检验科、急传科、免规科、质控室、卫生应急办</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所属单位1个，分别是：</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1.维西傈僳族自治县疾病预防控制中心</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工作部署和工作目标，以科室为单位，努力完成各项任务和指标，继续把重大传染病防控任务放在首位，加强新冠肺炎疫情防控，加强其他传染病的监测及防控工作，开展应急培训和实战演练，进一步提高应对聚集性疫情和突发公共卫生事件的处置能力。进一步规范及提高基本公共卫生项目管理工作。认真贯彻落实卫生工作会议精神，坚持“预防为主、防治结合”的工作方针，全面落实各项疾病预防控制措施，顺利完成全年工作任务指标。</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我单位编制2023年部门预算单位共1个。其中：财政全额供给单位</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个</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差额供给单位</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个</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定额补助单位</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个</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自收自支单位</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个。</w:t>
      </w:r>
      <w:r>
        <w:rPr>
          <w:rFonts w:hint="eastAsia" w:ascii="仿宋_GB2312" w:hAnsi="仿宋_GB2312" w:eastAsia="仿宋_GB2312" w:cs="仿宋_GB2312"/>
          <w:color w:val="auto"/>
          <w:kern w:val="0"/>
          <w:sz w:val="32"/>
          <w:szCs w:val="32"/>
          <w:highlight w:val="none"/>
        </w:rPr>
        <w:t>财政全额供给单位中行政单位</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个</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参公单位</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个</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事业单位</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个。</w:t>
      </w:r>
      <w:r>
        <w:rPr>
          <w:rFonts w:hint="eastAsia" w:ascii="仿宋_GB2312" w:hAnsi="仿宋_GB2312" w:eastAsia="仿宋_GB2312" w:cs="仿宋_GB2312"/>
          <w:kern w:val="0"/>
          <w:sz w:val="32"/>
          <w:szCs w:val="32"/>
          <w:highlight w:val="none"/>
          <w:lang w:eastAsia="zh-CN"/>
        </w:rPr>
        <w:t>截至</w:t>
      </w:r>
      <w:r>
        <w:rPr>
          <w:rFonts w:hint="eastAsia" w:ascii="仿宋_GB2312" w:hAnsi="仿宋_GB2312" w:eastAsia="仿宋_GB2312" w:cs="仿宋_GB2312"/>
          <w:kern w:val="0"/>
          <w:sz w:val="32"/>
          <w:szCs w:val="32"/>
          <w:highlight w:val="none"/>
          <w:lang w:val="en-US" w:eastAsia="zh-CN"/>
        </w:rPr>
        <w:t>2022</w:t>
      </w:r>
      <w:r>
        <w:rPr>
          <w:rFonts w:hint="eastAsia" w:ascii="仿宋_GB2312" w:hAnsi="仿宋_GB2312" w:eastAsia="仿宋_GB2312" w:cs="仿宋_GB2312"/>
          <w:kern w:val="0"/>
          <w:sz w:val="32"/>
          <w:szCs w:val="32"/>
          <w:highlight w:val="none"/>
        </w:rPr>
        <w:t>年12月统计，</w:t>
      </w:r>
      <w:r>
        <w:rPr>
          <w:rFonts w:hint="eastAsia" w:ascii="仿宋_GB2312" w:hAnsi="仿宋_GB2312" w:eastAsia="仿宋_GB2312" w:cs="仿宋_GB2312"/>
          <w:kern w:val="0"/>
          <w:sz w:val="32"/>
          <w:szCs w:val="32"/>
          <w:highlight w:val="none"/>
          <w:lang w:eastAsia="zh-CN"/>
        </w:rPr>
        <w:t>单位</w:t>
      </w:r>
      <w:r>
        <w:rPr>
          <w:rFonts w:hint="eastAsia" w:ascii="仿宋_GB2312" w:hAnsi="仿宋_GB2312" w:eastAsia="仿宋_GB2312" w:cs="仿宋_GB2312"/>
          <w:kern w:val="0"/>
          <w:sz w:val="32"/>
          <w:szCs w:val="32"/>
          <w:highlight w:val="none"/>
        </w:rPr>
        <w:t>基本情况如下：</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在职人员编制47人，其中：行政编制0人，工勤人员编制0人，事业编制47人。</w:t>
      </w:r>
      <w:r>
        <w:rPr>
          <w:rFonts w:hint="eastAsia" w:ascii="仿宋_GB2312" w:hAnsi="仿宋_GB2312" w:eastAsia="仿宋_GB2312" w:cs="仿宋_GB2312"/>
          <w:kern w:val="0"/>
          <w:sz w:val="32"/>
          <w:szCs w:val="32"/>
          <w:highlight w:val="none"/>
          <w:lang w:val="en-US" w:eastAsia="zh-CN"/>
        </w:rPr>
        <w:t>2022年末</w:t>
      </w:r>
      <w:r>
        <w:rPr>
          <w:rFonts w:hint="eastAsia" w:ascii="仿宋_GB2312" w:hAnsi="仿宋_GB2312" w:eastAsia="仿宋_GB2312" w:cs="仿宋_GB2312"/>
          <w:kern w:val="0"/>
          <w:sz w:val="32"/>
          <w:szCs w:val="32"/>
          <w:highlight w:val="none"/>
        </w:rPr>
        <w:t>在职实有</w:t>
      </w:r>
      <w:r>
        <w:rPr>
          <w:rFonts w:hint="eastAsia" w:ascii="仿宋_GB2312" w:hAnsi="仿宋_GB2312" w:eastAsia="仿宋_GB2312" w:cs="仿宋_GB2312"/>
          <w:kern w:val="0"/>
          <w:sz w:val="32"/>
          <w:szCs w:val="32"/>
          <w:highlight w:val="none"/>
          <w:lang w:val="en-US" w:eastAsia="zh-CN"/>
        </w:rPr>
        <w:t>58</w:t>
      </w:r>
      <w:r>
        <w:rPr>
          <w:rFonts w:hint="eastAsia" w:ascii="仿宋_GB2312" w:hAnsi="仿宋_GB2312" w:eastAsia="仿宋_GB2312" w:cs="仿宋_GB2312"/>
          <w:kern w:val="0"/>
          <w:sz w:val="32"/>
          <w:szCs w:val="32"/>
          <w:highlight w:val="none"/>
        </w:rPr>
        <w:t>人</w:t>
      </w:r>
      <w:r>
        <w:rPr>
          <w:rFonts w:hint="eastAsia" w:ascii="仿宋_GB2312" w:hAnsi="仿宋_GB2312" w:eastAsia="仿宋_GB2312" w:cs="仿宋_GB2312"/>
          <w:kern w:val="0"/>
          <w:sz w:val="32"/>
          <w:szCs w:val="32"/>
          <w:highlight w:val="none"/>
          <w:lang w:eastAsia="zh-CN"/>
        </w:rPr>
        <w:t>（包含优退人员</w:t>
      </w:r>
      <w:r>
        <w:rPr>
          <w:rFonts w:hint="eastAsia" w:ascii="仿宋_GB2312" w:hAnsi="仿宋_GB2312" w:eastAsia="仿宋_GB2312" w:cs="仿宋_GB2312"/>
          <w:kern w:val="0"/>
          <w:sz w:val="32"/>
          <w:szCs w:val="32"/>
          <w:highlight w:val="none"/>
          <w:lang w:val="en-US" w:eastAsia="zh-CN"/>
        </w:rPr>
        <w:t>15人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，其中：财政全额保障</w:t>
      </w:r>
      <w:r>
        <w:rPr>
          <w:rFonts w:hint="eastAsia" w:ascii="仿宋_GB2312" w:hAnsi="仿宋_GB2312" w:eastAsia="仿宋_GB2312" w:cs="仿宋_GB2312"/>
          <w:kern w:val="0"/>
          <w:sz w:val="32"/>
          <w:szCs w:val="32"/>
          <w:highlight w:val="none"/>
          <w:lang w:val="en-US" w:eastAsia="zh-CN"/>
        </w:rPr>
        <w:t>58</w:t>
      </w:r>
      <w:r>
        <w:rPr>
          <w:rFonts w:hint="eastAsia" w:ascii="仿宋_GB2312" w:hAnsi="仿宋_GB2312" w:eastAsia="仿宋_GB2312" w:cs="仿宋_GB2312"/>
          <w:kern w:val="0"/>
          <w:sz w:val="32"/>
          <w:szCs w:val="32"/>
          <w:highlight w:val="none"/>
        </w:rPr>
        <w:t>人，财政差额补助</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人，财政专户资金、单位资金保障</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人。</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离退休人员</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人，其中：离休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人，退休</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人。</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eastAsia="仿宋_GB2312"/>
          <w:kern w:val="0"/>
          <w:sz w:val="32"/>
          <w:szCs w:val="32"/>
        </w:rPr>
      </w:pPr>
      <w:r>
        <w:rPr>
          <w:rFonts w:hint="eastAsia" w:ascii="仿宋_GB2312" w:hAnsi="仿宋_GB2312" w:eastAsia="仿宋_GB2312" w:cs="仿宋_GB2312"/>
          <w:kern w:val="0"/>
          <w:sz w:val="32"/>
          <w:szCs w:val="32"/>
        </w:rPr>
        <w:t>车辆编制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辆，实有车辆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辆。</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年部门财务总收入</w:t>
      </w:r>
      <w:r>
        <w:rPr>
          <w:rFonts w:hint="eastAsia" w:ascii="仿宋_GB2312" w:hAnsi="仿宋_GB2312" w:eastAsia="仿宋_GB2312" w:cs="仿宋_GB2312"/>
          <w:kern w:val="0"/>
          <w:sz w:val="32"/>
          <w:szCs w:val="32"/>
          <w:lang w:val="en-US" w:eastAsia="zh-CN"/>
        </w:rPr>
        <w:t>1327.05</w:t>
      </w:r>
      <w:r>
        <w:rPr>
          <w:rFonts w:hint="eastAsia" w:ascii="仿宋_GB2312" w:hAnsi="仿宋_GB2312" w:eastAsia="仿宋_GB2312" w:cs="仿宋_GB2312"/>
          <w:kern w:val="0"/>
          <w:sz w:val="32"/>
          <w:szCs w:val="32"/>
        </w:rPr>
        <w:t>万元，其中：一般公共预算</w:t>
      </w:r>
      <w:r>
        <w:rPr>
          <w:rFonts w:hint="eastAsia" w:ascii="仿宋_GB2312" w:hAnsi="仿宋_GB2312" w:eastAsia="仿宋_GB2312" w:cs="仿宋_GB2312"/>
          <w:kern w:val="0"/>
          <w:sz w:val="32"/>
          <w:szCs w:val="32"/>
          <w:lang w:val="en-US" w:eastAsia="zh-CN"/>
        </w:rPr>
        <w:t>1327.05</w:t>
      </w:r>
      <w:r>
        <w:rPr>
          <w:rFonts w:hint="eastAsia" w:ascii="仿宋_GB2312" w:hAnsi="仿宋_GB2312" w:eastAsia="仿宋_GB2312" w:cs="仿宋_GB2312"/>
          <w:kern w:val="0"/>
          <w:sz w:val="32"/>
          <w:szCs w:val="32"/>
        </w:rPr>
        <w:t>万元，政府性基金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万元，国有资本经营收益</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事业收入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万元，事业单位经营收入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万元，上级补助收入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万元，附属单位上缴收入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与上年对比</w:t>
      </w:r>
      <w:r>
        <w:rPr>
          <w:rFonts w:hint="eastAsia" w:ascii="仿宋_GB2312" w:hAnsi="仿宋_GB2312" w:eastAsia="仿宋_GB2312" w:cs="仿宋_GB2312"/>
          <w:kern w:val="0"/>
          <w:sz w:val="32"/>
          <w:szCs w:val="32"/>
          <w:lang w:eastAsia="zh-CN"/>
        </w:rPr>
        <w:t>增幅为</w:t>
      </w:r>
      <w:r>
        <w:rPr>
          <w:rFonts w:hint="eastAsia" w:ascii="仿宋_GB2312" w:hAnsi="仿宋_GB2312" w:eastAsia="仿宋_GB2312" w:cs="仿宋_GB2312"/>
          <w:kern w:val="0"/>
          <w:sz w:val="32"/>
          <w:szCs w:val="32"/>
          <w:lang w:val="en-US" w:eastAsia="zh-CN"/>
        </w:rPr>
        <w:t>11.89%</w:t>
      </w:r>
      <w:r>
        <w:rPr>
          <w:rFonts w:hint="eastAsia" w:ascii="仿宋_GB2312" w:hAnsi="仿宋_GB2312" w:eastAsia="仿宋_GB2312" w:cs="仿宋_GB2312"/>
          <w:kern w:val="0"/>
          <w:sz w:val="32"/>
          <w:szCs w:val="32"/>
        </w:rPr>
        <w:t>，主要</w:t>
      </w:r>
      <w:r>
        <w:rPr>
          <w:rFonts w:hint="eastAsia" w:ascii="仿宋_GB2312" w:hAnsi="仿宋_GB2312" w:eastAsia="仿宋_GB2312" w:cs="仿宋_GB2312"/>
          <w:kern w:val="0"/>
          <w:sz w:val="32"/>
          <w:szCs w:val="32"/>
          <w:lang w:eastAsia="zh-CN"/>
        </w:rPr>
        <w:t>是因为</w:t>
      </w:r>
      <w:r>
        <w:rPr>
          <w:rFonts w:hint="eastAsia" w:ascii="仿宋_GB2312" w:hAnsi="仿宋_GB2312" w:eastAsia="仿宋_GB2312" w:cs="仿宋_GB2312"/>
          <w:kern w:val="0"/>
          <w:sz w:val="32"/>
          <w:szCs w:val="32"/>
          <w:lang w:val="en-US" w:eastAsia="zh-CN"/>
        </w:rPr>
        <w:t>疫情防控工作需要，我单位新招录事业人员1名、调入工作人员3名，共新增人员4名</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年部门财政拨款收入</w:t>
      </w:r>
      <w:r>
        <w:rPr>
          <w:rFonts w:hint="eastAsia" w:ascii="仿宋_GB2312" w:hAnsi="仿宋_GB2312" w:eastAsia="仿宋_GB2312" w:cs="仿宋_GB2312"/>
          <w:kern w:val="0"/>
          <w:sz w:val="32"/>
          <w:szCs w:val="32"/>
          <w:lang w:val="en-US" w:eastAsia="zh-CN"/>
        </w:rPr>
        <w:t>1327.05</w:t>
      </w:r>
      <w:r>
        <w:rPr>
          <w:rFonts w:hint="eastAsia" w:ascii="仿宋_GB2312" w:hAnsi="仿宋_GB2312" w:eastAsia="仿宋_GB2312" w:cs="仿宋_GB2312"/>
          <w:kern w:val="0"/>
          <w:sz w:val="32"/>
          <w:szCs w:val="32"/>
        </w:rPr>
        <w:t>万元，其中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本年收入</w:t>
      </w:r>
      <w:r>
        <w:rPr>
          <w:rFonts w:hint="eastAsia" w:ascii="仿宋_GB2312" w:hAnsi="仿宋_GB2312" w:eastAsia="仿宋_GB2312" w:cs="仿宋_GB2312"/>
          <w:kern w:val="0"/>
          <w:sz w:val="32"/>
          <w:szCs w:val="32"/>
          <w:lang w:val="en-US" w:eastAsia="zh-CN"/>
        </w:rPr>
        <w:t>1327.05</w:t>
      </w:r>
      <w:r>
        <w:rPr>
          <w:rFonts w:hint="eastAsia" w:ascii="仿宋_GB2312" w:hAnsi="仿宋_GB2312" w:eastAsia="仿宋_GB2312" w:cs="仿宋_GB2312"/>
          <w:kern w:val="0"/>
          <w:sz w:val="32"/>
          <w:szCs w:val="32"/>
        </w:rPr>
        <w:t>万元，上年结转收入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万元。本年收入中，一般公共预算财政拨款</w:t>
      </w:r>
      <w:r>
        <w:rPr>
          <w:rFonts w:hint="eastAsia" w:ascii="仿宋_GB2312" w:hAnsi="仿宋_GB2312" w:eastAsia="仿宋_GB2312" w:cs="仿宋_GB2312"/>
          <w:kern w:val="0"/>
          <w:sz w:val="32"/>
          <w:szCs w:val="32"/>
          <w:lang w:val="en-US" w:eastAsia="zh-CN"/>
        </w:rPr>
        <w:t>1327.05</w:t>
      </w:r>
      <w:r>
        <w:rPr>
          <w:rFonts w:hint="eastAsia" w:ascii="仿宋_GB2312" w:hAnsi="仿宋_GB2312" w:eastAsia="仿宋_GB2312" w:cs="仿宋_GB2312"/>
          <w:kern w:val="0"/>
          <w:sz w:val="32"/>
          <w:szCs w:val="32"/>
        </w:rPr>
        <w:t>万元，政府性基金预算财政拨款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万元，国有资本经营收益财政拨款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eastAsia="仿宋_GB2312"/>
          <w:kern w:val="0"/>
          <w:sz w:val="32"/>
          <w:szCs w:val="32"/>
        </w:rPr>
      </w:pPr>
      <w:r>
        <w:rPr>
          <w:rFonts w:hint="eastAsia" w:ascii="仿宋_GB2312" w:hAnsi="仿宋_GB2312" w:eastAsia="仿宋_GB2312" w:cs="仿宋_GB2312"/>
          <w:kern w:val="0"/>
          <w:sz w:val="32"/>
          <w:szCs w:val="32"/>
        </w:rPr>
        <w:t>与上年对比</w:t>
      </w:r>
      <w:r>
        <w:rPr>
          <w:rFonts w:hint="eastAsia" w:ascii="仿宋_GB2312" w:hAnsi="仿宋_GB2312" w:eastAsia="仿宋_GB2312" w:cs="仿宋_GB2312"/>
          <w:kern w:val="0"/>
          <w:sz w:val="32"/>
          <w:szCs w:val="32"/>
          <w:lang w:eastAsia="zh-CN"/>
        </w:rPr>
        <w:t>增幅为</w:t>
      </w:r>
      <w:r>
        <w:rPr>
          <w:rFonts w:hint="eastAsia" w:ascii="仿宋_GB2312" w:hAnsi="仿宋_GB2312" w:eastAsia="仿宋_GB2312" w:cs="仿宋_GB2312"/>
          <w:kern w:val="0"/>
          <w:sz w:val="32"/>
          <w:szCs w:val="32"/>
          <w:lang w:val="en-US" w:eastAsia="zh-CN"/>
        </w:rPr>
        <w:t>11.89%</w:t>
      </w:r>
      <w:r>
        <w:rPr>
          <w:rFonts w:hint="eastAsia" w:ascii="仿宋_GB2312" w:hAnsi="仿宋_GB2312" w:eastAsia="仿宋_GB2312" w:cs="仿宋_GB2312"/>
          <w:kern w:val="0"/>
          <w:sz w:val="32"/>
          <w:szCs w:val="32"/>
        </w:rPr>
        <w:t>，主要</w:t>
      </w:r>
      <w:r>
        <w:rPr>
          <w:rFonts w:hint="eastAsia" w:ascii="仿宋_GB2312" w:hAnsi="仿宋_GB2312" w:eastAsia="仿宋_GB2312" w:cs="仿宋_GB2312"/>
          <w:kern w:val="0"/>
          <w:sz w:val="32"/>
          <w:szCs w:val="32"/>
          <w:lang w:eastAsia="zh-CN"/>
        </w:rPr>
        <w:t>是因为我单位属于财政全额拨款单位，而且因</w:t>
      </w:r>
      <w:r>
        <w:rPr>
          <w:rFonts w:hint="eastAsia" w:ascii="仿宋_GB2312" w:hAnsi="仿宋_GB2312" w:eastAsia="仿宋_GB2312" w:cs="仿宋_GB2312"/>
          <w:kern w:val="0"/>
          <w:sz w:val="32"/>
          <w:szCs w:val="32"/>
          <w:lang w:val="en-US" w:eastAsia="zh-CN"/>
        </w:rPr>
        <w:t>疫情防控工作需要，我单位新招录事业人员1名、调入工作人员3名，共新增人员4名</w:t>
      </w:r>
      <w:r>
        <w:rPr>
          <w:rFonts w:hint="eastAsia" w:ascii="仿宋_GB2312" w:hAnsi="仿宋_GB2312" w:eastAsia="仿宋_GB2312" w:cs="仿宋_GB2312"/>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pacing w:line="24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预算单位支出情况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年部门预算总支出</w:t>
      </w:r>
      <w:r>
        <w:rPr>
          <w:rFonts w:hint="eastAsia" w:ascii="仿宋_GB2312" w:hAnsi="仿宋_GB2312" w:eastAsia="仿宋_GB2312" w:cs="仿宋_GB2312"/>
          <w:kern w:val="0"/>
          <w:sz w:val="32"/>
          <w:szCs w:val="32"/>
          <w:lang w:val="en-US" w:eastAsia="zh-CN"/>
        </w:rPr>
        <w:t>1327.05</w:t>
      </w:r>
      <w:r>
        <w:rPr>
          <w:rFonts w:hint="eastAsia" w:ascii="仿宋_GB2312" w:hAnsi="仿宋_GB2312" w:eastAsia="仿宋_GB2312" w:cs="仿宋_GB2312"/>
          <w:kern w:val="0"/>
          <w:sz w:val="32"/>
          <w:szCs w:val="32"/>
        </w:rPr>
        <w:t>万元。财政拨款安排支出</w:t>
      </w:r>
      <w:r>
        <w:rPr>
          <w:rFonts w:hint="eastAsia" w:ascii="仿宋_GB2312" w:hAnsi="仿宋_GB2312" w:eastAsia="仿宋_GB2312" w:cs="仿宋_GB2312"/>
          <w:kern w:val="0"/>
          <w:sz w:val="32"/>
          <w:szCs w:val="32"/>
          <w:lang w:val="en-US" w:eastAsia="zh-CN"/>
        </w:rPr>
        <w:t>1327.05</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1324.05</w:t>
      </w:r>
      <w:r>
        <w:rPr>
          <w:rFonts w:hint="eastAsia" w:ascii="仿宋_GB2312" w:hAnsi="仿宋_GB2312" w:eastAsia="仿宋_GB2312" w:cs="仿宋_GB2312"/>
          <w:kern w:val="0"/>
          <w:sz w:val="32"/>
          <w:szCs w:val="32"/>
        </w:rPr>
        <w:t>万元，与上年对比</w:t>
      </w:r>
      <w:r>
        <w:rPr>
          <w:rFonts w:hint="eastAsia" w:ascii="仿宋_GB2312" w:hAnsi="仿宋_GB2312" w:eastAsia="仿宋_GB2312" w:cs="仿宋_GB2312"/>
          <w:kern w:val="0"/>
          <w:sz w:val="32"/>
          <w:szCs w:val="32"/>
          <w:lang w:eastAsia="zh-CN"/>
        </w:rPr>
        <w:t>增幅为</w:t>
      </w:r>
      <w:r>
        <w:rPr>
          <w:rFonts w:hint="eastAsia" w:ascii="仿宋_GB2312" w:hAnsi="仿宋_GB2312" w:eastAsia="仿宋_GB2312" w:cs="仿宋_GB2312"/>
          <w:kern w:val="0"/>
          <w:sz w:val="32"/>
          <w:szCs w:val="32"/>
          <w:lang w:val="en-US" w:eastAsia="zh-CN"/>
        </w:rPr>
        <w:t>11.92%</w:t>
      </w:r>
      <w:r>
        <w:rPr>
          <w:rFonts w:hint="eastAsia" w:ascii="仿宋_GB2312" w:hAnsi="仿宋_GB2312" w:eastAsia="仿宋_GB2312" w:cs="仿宋_GB2312"/>
          <w:kern w:val="0"/>
          <w:sz w:val="32"/>
          <w:szCs w:val="32"/>
        </w:rPr>
        <w:t>，主要</w:t>
      </w:r>
      <w:r>
        <w:rPr>
          <w:rFonts w:hint="eastAsia" w:ascii="仿宋_GB2312" w:hAnsi="仿宋_GB2312" w:eastAsia="仿宋_GB2312" w:cs="仿宋_GB2312"/>
          <w:kern w:val="0"/>
          <w:sz w:val="32"/>
          <w:szCs w:val="32"/>
          <w:lang w:eastAsia="zh-CN"/>
        </w:rPr>
        <w:t>是因</w:t>
      </w:r>
      <w:r>
        <w:rPr>
          <w:rFonts w:hint="eastAsia" w:ascii="仿宋_GB2312" w:hAnsi="仿宋_GB2312" w:eastAsia="仿宋_GB2312" w:cs="仿宋_GB2312"/>
          <w:kern w:val="0"/>
          <w:sz w:val="32"/>
          <w:szCs w:val="32"/>
          <w:lang w:val="en-US" w:eastAsia="zh-CN"/>
        </w:rPr>
        <w:t>疫情防控工作需要，我单位新招录事业人员1名、调入工作人员3名，共新增人员4名，对应的人员经费及公用经费较上年增长</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万元，与上年对比</w:t>
      </w:r>
      <w:r>
        <w:rPr>
          <w:rFonts w:hint="eastAsia" w:ascii="仿宋_GB2312" w:hAnsi="仿宋_GB2312" w:eastAsia="仿宋_GB2312" w:cs="仿宋_GB2312"/>
          <w:kern w:val="0"/>
          <w:sz w:val="32"/>
          <w:szCs w:val="32"/>
          <w:lang w:eastAsia="zh-CN"/>
        </w:rPr>
        <w:t>无变动</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财政拨款安排支出按功能科目分类情况，</w:t>
      </w:r>
      <w:r>
        <w:rPr>
          <w:rFonts w:hint="eastAsia" w:ascii="仿宋_GB2312" w:hAnsi="仿宋_GB2312" w:eastAsia="仿宋_GB2312" w:cs="仿宋_GB2312"/>
          <w:kern w:val="0"/>
          <w:sz w:val="32"/>
          <w:szCs w:val="32"/>
          <w:lang w:eastAsia="zh-CN"/>
        </w:rPr>
        <w:t>社会保障和就业支出</w:t>
      </w:r>
      <w:r>
        <w:rPr>
          <w:rFonts w:hint="eastAsia" w:ascii="仿宋_GB2312" w:hAnsi="仿宋_GB2312" w:eastAsia="仿宋_GB2312" w:cs="仿宋_GB2312"/>
          <w:kern w:val="0"/>
          <w:sz w:val="32"/>
          <w:szCs w:val="32"/>
          <w:lang w:val="en-US" w:eastAsia="zh-CN"/>
        </w:rPr>
        <w:t>141.43万元，主要用于核算在职人员养老保险金缴费支出；卫生健康支出1077.05万元，主要用于核算单位基本运转支出、人员支出以及基本公共卫生服务等项目支出情况；住房保障支出108.56万元，</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val="en-US" w:eastAsia="zh-CN"/>
        </w:rPr>
        <w:t>核算单位在职人员住房公积金缴纳金额</w:t>
      </w:r>
      <w:r>
        <w:rPr>
          <w:rFonts w:hint="eastAsia" w:ascii="仿宋_GB2312" w:hAnsi="仿宋_GB2312" w:eastAsia="仿宋_GB2312" w:cs="仿宋_GB2312"/>
          <w:kern w:val="0"/>
          <w:sz w:val="32"/>
          <w:szCs w:val="32"/>
        </w:rPr>
        <w:t>。</w:t>
      </w:r>
    </w:p>
    <w:p>
      <w:pPr>
        <w:keepNext w:val="0"/>
        <w:keepLines w:val="0"/>
        <w:pageBreakBefore w:val="0"/>
        <w:widowControl/>
        <w:numPr>
          <w:ilvl w:val="0"/>
          <w:numId w:val="2"/>
        </w:numPr>
        <w:kinsoku/>
        <w:wordWrap/>
        <w:overflowPunct/>
        <w:topLinePunct w:val="0"/>
        <w:autoSpaceDE/>
        <w:autoSpaceDN/>
        <w:bidi w:val="0"/>
        <w:adjustRightInd/>
        <w:spacing w:line="240" w:lineRule="auto"/>
        <w:ind w:firstLine="640" w:firstLineChars="200"/>
        <w:jc w:val="both"/>
        <w:textAlignment w:val="auto"/>
        <w:rPr>
          <w:rFonts w:hint="eastAsia" w:ascii="黑体" w:hAnsi="黑体" w:eastAsia="黑体"/>
          <w:kern w:val="0"/>
          <w:sz w:val="32"/>
          <w:szCs w:val="32"/>
        </w:rPr>
      </w:pPr>
      <w:r>
        <w:rPr>
          <w:rFonts w:ascii="黑体" w:hAnsi="黑体" w:eastAsia="黑体"/>
          <w:kern w:val="0"/>
          <w:sz w:val="32"/>
          <w:szCs w:val="32"/>
        </w:rPr>
        <w:t>省对下专项转移支付情况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我单位属县级单位，无对下转移支付预算。</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黑体" w:hAnsi="黑体" w:eastAsia="黑体"/>
          <w:kern w:val="0"/>
          <w:sz w:val="32"/>
          <w:szCs w:val="32"/>
        </w:rPr>
      </w:pPr>
      <w:r>
        <w:rPr>
          <w:rFonts w:ascii="黑体" w:hAnsi="黑体" w:eastAsia="黑体"/>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eastAsia="仿宋_GB2312"/>
          <w:color w:val="auto"/>
          <w:kern w:val="0"/>
          <w:sz w:val="32"/>
          <w:szCs w:val="32"/>
          <w:highlight w:val="none"/>
          <w:lang w:eastAsia="zh-CN"/>
        </w:rPr>
      </w:pPr>
      <w:r>
        <w:rPr>
          <w:rFonts w:hint="eastAsia" w:ascii="仿宋_GB2312" w:hAnsi="仿宋_GB2312" w:eastAsia="仿宋_GB2312" w:cs="仿宋_GB2312"/>
          <w:kern w:val="0"/>
          <w:sz w:val="32"/>
          <w:szCs w:val="32"/>
        </w:rPr>
        <w:t>根据《中华人民共和国政府采购法》的有关规定，编制了政府采购预算，共涉及采购项目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个，政府采购预算总额</w:t>
      </w:r>
      <w:r>
        <w:rPr>
          <w:rFonts w:hint="eastAsia" w:ascii="仿宋_GB2312" w:hAnsi="仿宋_GB2312" w:eastAsia="仿宋_GB2312" w:cs="仿宋_GB2312"/>
          <w:kern w:val="0"/>
          <w:sz w:val="32"/>
          <w:szCs w:val="32"/>
          <w:lang w:val="en-US" w:eastAsia="zh-CN"/>
        </w:rPr>
        <w:t>0.6</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0.6</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eastAsia="仿宋_GB2312"/>
          <w:kern w:val="0"/>
          <w:sz w:val="32"/>
          <w:szCs w:val="32"/>
          <w:lang w:eastAsia="zh-CN"/>
        </w:rPr>
        <w:t>维</w:t>
      </w:r>
      <w:r>
        <w:rPr>
          <w:rFonts w:hint="eastAsia" w:ascii="仿宋_GB2312" w:hAnsi="仿宋_GB2312" w:eastAsia="仿宋_GB2312" w:cs="仿宋_GB2312"/>
          <w:kern w:val="0"/>
          <w:sz w:val="32"/>
          <w:szCs w:val="32"/>
          <w:lang w:eastAsia="zh-CN"/>
        </w:rPr>
        <w:t>西县疾控中心</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年一般公共预算财政拨款“三公”经费预算合计</w:t>
      </w:r>
      <w:r>
        <w:rPr>
          <w:rFonts w:hint="eastAsia" w:ascii="仿宋_GB2312" w:hAnsi="仿宋_GB2312" w:eastAsia="仿宋_GB2312" w:cs="仿宋_GB2312"/>
          <w:kern w:val="0"/>
          <w:sz w:val="32"/>
          <w:szCs w:val="32"/>
          <w:lang w:val="en-US" w:eastAsia="zh-CN"/>
        </w:rPr>
        <w:t>6.5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较上年增加0万元，增长0.00%</w:t>
      </w:r>
      <w:r>
        <w:rPr>
          <w:rFonts w:hint="eastAsia" w:ascii="仿宋_GB2312" w:hAnsi="仿宋_GB2312" w:eastAsia="仿宋_GB2312" w:cs="仿宋_GB2312"/>
          <w:kern w:val="0"/>
          <w:sz w:val="32"/>
          <w:szCs w:val="32"/>
        </w:rPr>
        <w:t>，具体</w:t>
      </w:r>
      <w:r>
        <w:rPr>
          <w:rFonts w:hint="eastAsia" w:ascii="仿宋_GB2312" w:hAnsi="仿宋_GB2312" w:eastAsia="仿宋_GB2312" w:cs="仿宋_GB2312"/>
          <w:kern w:val="0"/>
          <w:sz w:val="32"/>
          <w:szCs w:val="32"/>
          <w:lang w:eastAsia="zh-CN"/>
        </w:rPr>
        <w:t>变动</w:t>
      </w:r>
      <w:r>
        <w:rPr>
          <w:rFonts w:hint="eastAsia" w:ascii="仿宋_GB2312" w:hAnsi="仿宋_GB2312" w:eastAsia="仿宋_GB2312" w:cs="仿宋_GB2312"/>
          <w:kern w:val="0"/>
          <w:sz w:val="32"/>
          <w:szCs w:val="32"/>
        </w:rPr>
        <w:t>情况如下：</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（一）因公出国（境）费</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楷体" w:hAnsi="楷体" w:eastAsia="楷体" w:cs="楷体"/>
          <w:kern w:val="0"/>
          <w:sz w:val="32"/>
          <w:szCs w:val="32"/>
        </w:rPr>
      </w:pPr>
      <w:r>
        <w:rPr>
          <w:rFonts w:hint="eastAsia" w:ascii="仿宋_GB2312" w:hAnsi="仿宋_GB2312" w:eastAsia="仿宋_GB2312" w:cs="仿宋_GB2312"/>
          <w:kern w:val="0"/>
          <w:sz w:val="32"/>
          <w:szCs w:val="32"/>
          <w:lang w:eastAsia="zh-CN"/>
        </w:rPr>
        <w:t>维西县疾控中心</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年因公出国（境）费预算为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较上年增加0万元，增长0.00%</w:t>
      </w:r>
      <w:r>
        <w:rPr>
          <w:rFonts w:hint="eastAsia" w:ascii="仿宋_GB2312" w:hAnsi="仿宋_GB2312" w:eastAsia="仿宋_GB2312" w:cs="仿宋_GB2312"/>
          <w:kern w:val="0"/>
          <w:sz w:val="32"/>
          <w:szCs w:val="32"/>
        </w:rPr>
        <w:t>，共计安排因公出国（境）团组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个，因公出国（境）</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人次。</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维西县疾控中心</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年公务接待费预算为</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较上年增加0万元，增长0.00%</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维西县疾控中心</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年公务用车购置及运行维护费为</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较上年增加0万元，增长0.00%</w:t>
      </w:r>
      <w:r>
        <w:rPr>
          <w:rFonts w:hint="eastAsia" w:ascii="仿宋_GB2312" w:hAnsi="仿宋_GB2312" w:eastAsia="仿宋_GB2312" w:cs="仿宋_GB2312"/>
          <w:kern w:val="0"/>
          <w:sz w:val="32"/>
          <w:szCs w:val="32"/>
        </w:rPr>
        <w:t>。其中：公务用车购置费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公务用车运行维护费</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较上年增加0万元，增长0.00%</w:t>
      </w:r>
      <w:bookmarkStart w:id="0" w:name="_GoBack"/>
      <w:bookmarkEnd w:id="0"/>
      <w:r>
        <w:rPr>
          <w:rFonts w:hint="eastAsia" w:ascii="仿宋_GB2312" w:hAnsi="仿宋_GB2312" w:eastAsia="仿宋_GB2312" w:cs="仿宋_GB2312"/>
          <w:kern w:val="0"/>
          <w:sz w:val="32"/>
          <w:szCs w:val="32"/>
        </w:rPr>
        <w:t>。共计购置公务用车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辆，年末公务用车保有量为</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辆。</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黑体" w:hAnsi="黑体" w:eastAsia="黑体"/>
          <w:color w:val="auto"/>
          <w:kern w:val="0"/>
          <w:sz w:val="32"/>
          <w:szCs w:val="32"/>
        </w:rPr>
      </w:pPr>
      <w:r>
        <w:rPr>
          <w:rFonts w:hint="eastAsia" w:ascii="黑体" w:hAnsi="黑体" w:eastAsia="黑体"/>
          <w:color w:val="auto"/>
          <w:kern w:val="0"/>
          <w:sz w:val="32"/>
          <w:szCs w:val="32"/>
        </w:rPr>
        <w:t>八、重点项目预算绩效目标情况</w:t>
      </w:r>
    </w:p>
    <w:p>
      <w:pPr>
        <w:widowControl/>
        <w:spacing w:line="240" w:lineRule="auto"/>
        <w:ind w:firstLine="696" w:firstLineChars="200"/>
        <w:jc w:val="left"/>
        <w:rPr>
          <w:rFonts w:hint="eastAsia" w:ascii="仿宋_GB2312" w:hAnsi="仿宋_GB2312" w:eastAsia="仿宋_GB2312" w:cs="仿宋_GB2312"/>
          <w:spacing w:val="14"/>
          <w:sz w:val="32"/>
          <w:szCs w:val="32"/>
          <w:u w:val="none"/>
          <w:lang w:eastAsia="zh-CN"/>
        </w:rPr>
      </w:pPr>
      <w:r>
        <w:rPr>
          <w:rFonts w:hint="eastAsia" w:ascii="仿宋_GB2312" w:hAnsi="仿宋_GB2312" w:eastAsia="仿宋_GB2312" w:cs="仿宋_GB2312"/>
          <w:spacing w:val="14"/>
          <w:sz w:val="32"/>
          <w:szCs w:val="32"/>
          <w:u w:val="none"/>
          <w:lang w:eastAsia="zh-CN"/>
        </w:rPr>
        <w:t>艾滋病防治项目工作经费：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目标1：年度内对乡镇及村级防艾知识宣传培训不少于4次，提高艾滋病重点人群及易感人群知晓率。</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目标2：对检测对象开展艾滋病检测，检测咨询任务完成率达到90%以上。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目标3：为有艾滋病感染风险的就诊者提供必要的艾滋病检测咨询服务。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目标4：通过对哨点发现的HIV感染者进行新发感染检测，了解男同人群、吸毒人群、暗娼人群的新发感染情况。</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黑体" w:hAnsi="黑体" w:eastAsia="黑体"/>
          <w:color w:val="auto"/>
          <w:kern w:val="0"/>
          <w:sz w:val="32"/>
          <w:szCs w:val="32"/>
        </w:rPr>
      </w:pPr>
      <w:r>
        <w:rPr>
          <w:rFonts w:hint="eastAsia" w:ascii="黑体" w:hAnsi="黑体" w:eastAsia="黑体"/>
          <w:color w:val="auto"/>
          <w:kern w:val="0"/>
          <w:sz w:val="32"/>
          <w:szCs w:val="32"/>
        </w:rPr>
        <w:t>九</w:t>
      </w:r>
      <w:r>
        <w:rPr>
          <w:rFonts w:ascii="黑体" w:hAnsi="黑体" w:eastAsia="黑体"/>
          <w:color w:val="auto"/>
          <w:kern w:val="0"/>
          <w:sz w:val="32"/>
          <w:szCs w:val="32"/>
        </w:rPr>
        <w:t>、其他公开信息</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color w:val="auto"/>
          <w:kern w:val="0"/>
          <w:sz w:val="32"/>
          <w:szCs w:val="32"/>
        </w:rPr>
      </w:pPr>
      <w:r>
        <w:rPr>
          <w:rFonts w:ascii="楷体_GB2312" w:eastAsia="楷体_GB2312"/>
          <w:color w:val="auto"/>
          <w:kern w:val="0"/>
          <w:sz w:val="32"/>
          <w:szCs w:val="32"/>
        </w:rPr>
        <w:t>（一）专业名词解释</w:t>
      </w:r>
    </w:p>
    <w:p>
      <w:pPr>
        <w:widowControl/>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1、基本支出：指单位为保障其机构正常运转、完成日常工作任务而发生的支出。</w:t>
      </w:r>
    </w:p>
    <w:p>
      <w:pPr>
        <w:widowControl/>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2、项目支出：指单位为完成其特定的行政工作任务或事业发展目标确定的年度事业发展项目而发生的支出。</w:t>
      </w:r>
    </w:p>
    <w:p>
      <w:pPr>
        <w:widowControl/>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3、一般公共预算：指政府凭借国家政治权力，以社会管理者身份筹集以税收为主体的财政收入，用于保障和改善民生、维持国家行政职能正常行使、保障国家安全等方面的收支预算。</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kern w:val="0"/>
          <w:sz w:val="32"/>
          <w:szCs w:val="32"/>
        </w:rPr>
        <w:t>4、政府性基金预算：指政府通过向社会征收基金、收费，以及出让土地、发行彩票等方式取得收入，专项用于支持特定基础设施建设和社会事业发展等方面的收支预算。</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我单位属于公益性事业单位，无机关运行经费安排</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pacing w:line="240" w:lineRule="auto"/>
        <w:ind w:firstLine="640" w:firstLineChars="200"/>
        <w:jc w:val="both"/>
        <w:textAlignment w:val="auto"/>
        <w:rPr>
          <w:rFonts w:hint="eastAsia"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lang w:eastAsia="zh-CN"/>
        </w:rPr>
        <w:t>有使用</w:t>
      </w:r>
      <w:r>
        <w:rPr>
          <w:rFonts w:ascii="楷体_GB2312" w:eastAsia="楷体_GB2312"/>
          <w:kern w:val="0"/>
          <w:sz w:val="32"/>
          <w:szCs w:val="32"/>
        </w:rPr>
        <w:t>情况</w:t>
      </w:r>
    </w:p>
    <w:p>
      <w:pPr>
        <w:keepNext w:val="0"/>
        <w:keepLines w:val="0"/>
        <w:pageBreakBefore w:val="0"/>
        <w:widowControl/>
        <w:kinsoku/>
        <w:wordWrap/>
        <w:overflowPunct/>
        <w:topLinePunct w:val="0"/>
        <w:autoSpaceDE/>
        <w:autoSpaceDN/>
        <w:bidi w:val="0"/>
        <w:adjustRightInd/>
        <w:spacing w:line="240" w:lineRule="auto"/>
        <w:ind w:firstLine="6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截至</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年12月31</w:t>
      </w:r>
      <w:r>
        <w:rPr>
          <w:rFonts w:hint="default" w:ascii="Times New Roman" w:hAnsi="Times New Roman" w:eastAsia="仿宋_GB2312" w:cs="Times New Roman"/>
          <w:kern w:val="0"/>
          <w:sz w:val="32"/>
          <w:szCs w:val="32"/>
          <w:highlight w:val="none"/>
        </w:rPr>
        <w:t>日，</w:t>
      </w:r>
      <w:r>
        <w:rPr>
          <w:rFonts w:hint="default" w:ascii="Times New Roman" w:hAnsi="Times New Roman" w:eastAsia="仿宋_GB2312" w:cs="Times New Roman"/>
          <w:kern w:val="0"/>
          <w:sz w:val="32"/>
          <w:szCs w:val="32"/>
          <w:highlight w:val="none"/>
          <w:lang w:eastAsia="zh-CN"/>
        </w:rPr>
        <w:t>维西县疾控中心</w:t>
      </w:r>
      <w:r>
        <w:rPr>
          <w:rFonts w:hint="default" w:ascii="Times New Roman" w:hAnsi="Times New Roman" w:eastAsia="仿宋_GB2312" w:cs="Times New Roman"/>
          <w:kern w:val="0"/>
          <w:sz w:val="32"/>
          <w:szCs w:val="32"/>
          <w:highlight w:val="none"/>
        </w:rPr>
        <w:t>资产总额</w:t>
      </w:r>
      <w:r>
        <w:rPr>
          <w:rFonts w:hint="eastAsia" w:ascii="仿宋_GB2312" w:hAnsi="仿宋_GB2312" w:eastAsia="仿宋_GB2312" w:cs="仿宋_GB2312"/>
          <w:kern w:val="0"/>
          <w:sz w:val="32"/>
          <w:szCs w:val="32"/>
          <w:highlight w:val="none"/>
          <w:lang w:val="en-US" w:eastAsia="zh-CN"/>
        </w:rPr>
        <w:t>1190.01</w:t>
      </w:r>
      <w:r>
        <w:rPr>
          <w:rFonts w:hint="default" w:ascii="Times New Roman" w:hAnsi="Times New Roman" w:eastAsia="仿宋_GB2312" w:cs="Times New Roman"/>
          <w:kern w:val="0"/>
          <w:sz w:val="32"/>
          <w:szCs w:val="32"/>
          <w:highlight w:val="none"/>
        </w:rPr>
        <w:t>万元，其中，流动资产</w:t>
      </w:r>
      <w:r>
        <w:rPr>
          <w:rFonts w:hint="eastAsia" w:ascii="仿宋_GB2312" w:hAnsi="仿宋_GB2312" w:eastAsia="仿宋_GB2312" w:cs="仿宋_GB2312"/>
          <w:kern w:val="0"/>
          <w:sz w:val="32"/>
          <w:szCs w:val="32"/>
          <w:highlight w:val="none"/>
          <w:lang w:val="en-US" w:eastAsia="zh-CN"/>
        </w:rPr>
        <w:t>372.13</w:t>
      </w:r>
      <w:r>
        <w:rPr>
          <w:rFonts w:hint="default" w:ascii="Times New Roman" w:hAnsi="Times New Roman" w:eastAsia="仿宋_GB2312" w:cs="Times New Roman"/>
          <w:kern w:val="0"/>
          <w:sz w:val="32"/>
          <w:szCs w:val="32"/>
          <w:highlight w:val="none"/>
        </w:rPr>
        <w:t>万元，固定资产</w:t>
      </w:r>
      <w:r>
        <w:rPr>
          <w:rFonts w:hint="eastAsia" w:ascii="Times New Roman" w:hAnsi="Times New Roman" w:eastAsia="仿宋_GB2312" w:cs="Times New Roman"/>
          <w:kern w:val="0"/>
          <w:sz w:val="32"/>
          <w:szCs w:val="32"/>
          <w:highlight w:val="none"/>
          <w:lang w:eastAsia="zh-CN"/>
        </w:rPr>
        <w:t>净值</w:t>
      </w:r>
      <w:r>
        <w:rPr>
          <w:rFonts w:hint="eastAsia" w:ascii="仿宋_GB2312" w:hAnsi="仿宋_GB2312" w:eastAsia="仿宋_GB2312" w:cs="仿宋_GB2312"/>
          <w:kern w:val="0"/>
          <w:sz w:val="32"/>
          <w:szCs w:val="32"/>
          <w:highlight w:val="none"/>
          <w:lang w:val="en-US" w:eastAsia="zh-CN"/>
        </w:rPr>
        <w:t>817.88</w:t>
      </w:r>
      <w:r>
        <w:rPr>
          <w:rFonts w:hint="default" w:ascii="Times New Roman" w:hAnsi="Times New Roman" w:eastAsia="仿宋_GB2312" w:cs="Times New Roman"/>
          <w:kern w:val="0"/>
          <w:sz w:val="32"/>
          <w:szCs w:val="32"/>
          <w:highlight w:val="none"/>
        </w:rPr>
        <w:t>万元，对外投资及有价证券</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万元，在建工程</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万元，无形资产</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万元，其他资产</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万元。与上年相比，本年资产总额增加</w:t>
      </w:r>
      <w:r>
        <w:rPr>
          <w:rFonts w:hint="eastAsia" w:ascii="仿宋_GB2312" w:hAnsi="仿宋_GB2312" w:eastAsia="仿宋_GB2312" w:cs="仿宋_GB2312"/>
          <w:kern w:val="0"/>
          <w:sz w:val="32"/>
          <w:szCs w:val="32"/>
          <w:highlight w:val="none"/>
          <w:lang w:val="en-US" w:eastAsia="zh-CN"/>
        </w:rPr>
        <w:t>105.02</w:t>
      </w:r>
      <w:r>
        <w:rPr>
          <w:rFonts w:hint="default" w:ascii="Times New Roman" w:hAnsi="Times New Roman" w:eastAsia="仿宋_GB2312" w:cs="Times New Roman"/>
          <w:kern w:val="0"/>
          <w:sz w:val="32"/>
          <w:szCs w:val="32"/>
          <w:highlight w:val="none"/>
        </w:rPr>
        <w:t>万元，其中固定资产</w:t>
      </w:r>
      <w:r>
        <w:rPr>
          <w:rFonts w:hint="eastAsia" w:ascii="Times New Roman" w:hAnsi="Times New Roman" w:eastAsia="仿宋_GB2312" w:cs="Times New Roman"/>
          <w:kern w:val="0"/>
          <w:sz w:val="32"/>
          <w:szCs w:val="32"/>
          <w:highlight w:val="none"/>
          <w:lang w:eastAsia="zh-CN"/>
        </w:rPr>
        <w:t>净值减少</w:t>
      </w:r>
      <w:r>
        <w:rPr>
          <w:rFonts w:hint="eastAsia" w:ascii="仿宋_GB2312" w:hAnsi="仿宋_GB2312" w:eastAsia="仿宋_GB2312" w:cs="仿宋_GB2312"/>
          <w:kern w:val="0"/>
          <w:sz w:val="32"/>
          <w:szCs w:val="32"/>
          <w:highlight w:val="none"/>
          <w:lang w:val="en-US" w:eastAsia="zh-CN"/>
        </w:rPr>
        <w:t>13.93</w:t>
      </w:r>
      <w:r>
        <w:rPr>
          <w:rFonts w:hint="default" w:ascii="Times New Roman" w:hAnsi="Times New Roman" w:eastAsia="仿宋_GB2312" w:cs="Times New Roman"/>
          <w:kern w:val="0"/>
          <w:sz w:val="32"/>
          <w:szCs w:val="32"/>
          <w:highlight w:val="none"/>
        </w:rPr>
        <w:t>万元。处置房屋建筑物</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平方米，账面原值0万元；处置车辆</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辆，账面原值0万元；报废报损资产</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项，账面原值0万元，实现资产处置收入</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万元；资产使用收入</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万元，其中出租资产</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平方米，资产出租收入</w:t>
      </w:r>
      <w:r>
        <w:rPr>
          <w:rFonts w:hint="eastAsia" w:ascii="仿宋_GB2312" w:hAnsi="仿宋_GB2312" w:eastAsia="仿宋_GB2312" w:cs="仿宋_GB2312"/>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万元。鉴于截至</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w:t>
      </w:r>
      <w:r>
        <w:rPr>
          <w:rFonts w:hint="eastAsia" w:ascii="仿宋_GB2312" w:hAnsi="仿宋_GB2312" w:eastAsia="仿宋_GB2312" w:cs="仿宋_GB2312"/>
          <w:kern w:val="0"/>
          <w:sz w:val="32"/>
          <w:szCs w:val="32"/>
          <w:highlight w:val="none"/>
        </w:rPr>
        <w:t>12</w:t>
      </w:r>
      <w:r>
        <w:rPr>
          <w:rFonts w:hint="default" w:ascii="Times New Roman" w:hAnsi="Times New Roman" w:eastAsia="仿宋_GB2312" w:cs="Times New Roman"/>
          <w:kern w:val="0"/>
          <w:sz w:val="32"/>
          <w:szCs w:val="32"/>
          <w:highlight w:val="none"/>
        </w:rPr>
        <w:t>月</w:t>
      </w:r>
      <w:r>
        <w:rPr>
          <w:rFonts w:hint="eastAsia" w:ascii="仿宋_GB2312" w:hAnsi="仿宋_GB2312" w:eastAsia="仿宋_GB2312" w:cs="仿宋_GB2312"/>
          <w:kern w:val="0"/>
          <w:sz w:val="32"/>
          <w:szCs w:val="32"/>
          <w:highlight w:val="none"/>
        </w:rPr>
        <w:t>31</w:t>
      </w:r>
      <w:r>
        <w:rPr>
          <w:rFonts w:hint="default" w:ascii="Times New Roman" w:hAnsi="Times New Roman" w:eastAsia="仿宋_GB2312" w:cs="Times New Roman"/>
          <w:kern w:val="0"/>
          <w:sz w:val="32"/>
          <w:szCs w:val="32"/>
          <w:highlight w:val="none"/>
        </w:rPr>
        <w:t>日的国有资产占有使用精准数据，需在完成</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年决算编制后才能汇总，此处公开为</w:t>
      </w:r>
      <w:r>
        <w:rPr>
          <w:rFonts w:hint="eastAsia" w:ascii="仿宋_GB2312" w:hAnsi="仿宋_GB2312" w:eastAsia="仿宋_GB2312" w:cs="仿宋_GB2312"/>
          <w:kern w:val="0"/>
          <w:sz w:val="32"/>
          <w:szCs w:val="32"/>
          <w:highlight w:val="none"/>
        </w:rPr>
        <w:t>2022</w:t>
      </w:r>
      <w:r>
        <w:rPr>
          <w:rFonts w:hint="default" w:ascii="Times New Roman" w:hAnsi="Times New Roman" w:eastAsia="仿宋_GB2312" w:cs="Times New Roman"/>
          <w:kern w:val="0"/>
          <w:sz w:val="32"/>
          <w:szCs w:val="32"/>
          <w:highlight w:val="none"/>
        </w:rPr>
        <w:t>年</w:t>
      </w:r>
      <w:r>
        <w:rPr>
          <w:rFonts w:hint="eastAsia" w:ascii="仿宋_GB2312" w:hAnsi="仿宋_GB2312" w:eastAsia="仿宋_GB2312" w:cs="仿宋_GB2312"/>
          <w:kern w:val="0"/>
          <w:sz w:val="32"/>
          <w:szCs w:val="32"/>
          <w:highlight w:val="none"/>
        </w:rPr>
        <w:t>12</w:t>
      </w:r>
      <w:r>
        <w:rPr>
          <w:rFonts w:hint="default" w:ascii="Times New Roman" w:hAnsi="Times New Roman" w:eastAsia="仿宋_GB2312" w:cs="Times New Roman"/>
          <w:kern w:val="0"/>
          <w:sz w:val="32"/>
          <w:szCs w:val="32"/>
          <w:highlight w:val="none"/>
        </w:rPr>
        <w:t>月</w:t>
      </w:r>
      <w:r>
        <w:rPr>
          <w:rFonts w:hint="eastAsia" w:ascii="仿宋_GB2312" w:hAnsi="仿宋_GB2312" w:eastAsia="仿宋_GB2312" w:cs="仿宋_GB2312"/>
          <w:kern w:val="0"/>
          <w:sz w:val="32"/>
          <w:szCs w:val="32"/>
          <w:highlight w:val="none"/>
        </w:rPr>
        <w:t>（2023年1月上报）</w:t>
      </w:r>
      <w:r>
        <w:rPr>
          <w:rFonts w:hint="default" w:ascii="Times New Roman" w:hAnsi="Times New Roman" w:eastAsia="仿宋_GB2312" w:cs="Times New Roman"/>
          <w:kern w:val="0"/>
          <w:sz w:val="32"/>
          <w:szCs w:val="32"/>
          <w:highlight w:val="none"/>
        </w:rPr>
        <w:t>资产月报数据。</w:t>
      </w:r>
    </w:p>
    <w:p>
      <w:pPr>
        <w:widowControl/>
        <w:ind w:firstLine="600"/>
        <w:jc w:val="left"/>
        <w:rPr>
          <w:rFonts w:hint="eastAsia" w:eastAsia="仿宋_GB2312"/>
          <w:kern w:val="0"/>
          <w:sz w:val="30"/>
          <w:szCs w:val="30"/>
        </w:rPr>
      </w:pPr>
    </w:p>
    <w:p>
      <w:pPr>
        <w:rPr>
          <w:rFonts w:ascii="Arial" w:hAnsi="Arial" w:eastAsia="Arial" w:cs="Arial"/>
          <w:b/>
          <w:sz w:val="36"/>
        </w:rPr>
      </w:pPr>
      <w:r>
        <w:rPr>
          <w:rFonts w:ascii="Arial" w:hAnsi="Arial" w:eastAsia="Arial" w:cs="Arial"/>
          <w:b/>
          <w:sz w:val="36"/>
        </w:rPr>
        <w:t>监督索引号53342300346401400111</w:t>
      </w:r>
    </w:p>
    <w:sectPr>
      <w:headerReference r:id="rId3" w:type="default"/>
      <w:footerReference r:id="rId5" w:type="default"/>
      <w:headerReference r:id="rId4" w:type="even"/>
      <w:pgSz w:w="11906" w:h="16838"/>
      <w:pgMar w:top="2098" w:right="1474" w:bottom="1984" w:left="1587"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suFCA1">
    <w:altName w:val="Courier New"/>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5"/>
      <w:numFmt w:val="chineseCounting"/>
      <w:suff w:val="nothing"/>
      <w:lvlText w:val="%1、"/>
      <w:lvlJc w:val="left"/>
    </w:lvl>
  </w:abstractNum>
  <w:abstractNum w:abstractNumId="1">
    <w:nsid w:val="0053208E"/>
    <w:multiLevelType w:val="singleLevel"/>
    <w:tmpl w:val="0053208E"/>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5606D7"/>
    <w:rsid w:val="092C23A0"/>
    <w:rsid w:val="20C84194"/>
    <w:rsid w:val="2AD86BCC"/>
    <w:rsid w:val="301312A0"/>
    <w:rsid w:val="3454317F"/>
    <w:rsid w:val="38AC011E"/>
    <w:rsid w:val="40325E8E"/>
    <w:rsid w:val="4D790A68"/>
    <w:rsid w:val="653A3C59"/>
    <w:rsid w:val="7EA059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99"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6">
    <w:name w:val="普通表格1"/>
    <w:unhideWhenUsed/>
    <w:qFormat/>
    <w:uiPriority w:val="99"/>
    <w:tblPr>
      <w:tblLayout w:type="fixed"/>
      <w:tblCellMar>
        <w:top w:w="0" w:type="dxa"/>
        <w:left w:w="108" w:type="dxa"/>
        <w:bottom w:w="0" w:type="dxa"/>
        <w:right w:w="108" w:type="dxa"/>
      </w:tblCellMar>
    </w:tblPr>
  </w:style>
  <w:style w:type="paragraph" w:customStyle="1" w:styleId="8">
    <w:name w:val="标题 11"/>
    <w:basedOn w:val="1"/>
    <w:next w:val="1"/>
    <w:qFormat/>
    <w:uiPriority w:val="9"/>
    <w:pPr>
      <w:keepNext/>
      <w:outlineLvl w:val="0"/>
    </w:pPr>
    <w:rPr>
      <w:rFonts w:ascii="LisuFCA1" w:hAnsi="LisuFCA1"/>
      <w:sz w:val="36"/>
    </w:rPr>
  </w:style>
  <w:style w:type="character" w:customStyle="1" w:styleId="9">
    <w:name w:val="默认段落字体1"/>
    <w:unhideWhenUsed/>
    <w:qFormat/>
    <w:uiPriority w:val="1"/>
  </w:style>
  <w:style w:type="character" w:customStyle="1" w:styleId="10">
    <w:name w:val="批注引用1"/>
    <w:semiHidden/>
    <w:qFormat/>
    <w:uiPriority w:val="0"/>
    <w:rPr>
      <w:sz w:val="21"/>
      <w:szCs w:val="21"/>
    </w:rPr>
  </w:style>
  <w:style w:type="paragraph" w:customStyle="1" w:styleId="11">
    <w:name w:val="批注主题1"/>
    <w:basedOn w:val="12"/>
    <w:semiHidden/>
    <w:qFormat/>
    <w:uiPriority w:val="0"/>
    <w:rPr>
      <w:b/>
      <w:bCs/>
    </w:rPr>
  </w:style>
  <w:style w:type="paragraph" w:customStyle="1" w:styleId="12">
    <w:name w:val="批注文字1"/>
    <w:basedOn w:val="1"/>
    <w:semiHidden/>
    <w:qFormat/>
    <w:uiPriority w:val="0"/>
    <w:pPr>
      <w:jc w:val="left"/>
    </w:pPr>
  </w:style>
  <w:style w:type="paragraph" w:customStyle="1" w:styleId="13">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页脚1"/>
    <w:basedOn w:val="1"/>
    <w:qFormat/>
    <w:uiPriority w:val="0"/>
    <w:pPr>
      <w:tabs>
        <w:tab w:val="center" w:pos="4153"/>
        <w:tab w:val="right" w:pos="8306"/>
      </w:tabs>
      <w:snapToGrid w:val="0"/>
      <w:jc w:val="left"/>
    </w:pPr>
    <w:rPr>
      <w:sz w:val="18"/>
      <w:szCs w:val="18"/>
    </w:rPr>
  </w:style>
  <w:style w:type="paragraph" w:customStyle="1" w:styleId="15">
    <w:name w:val="正文文本1"/>
    <w:basedOn w:val="1"/>
    <w:unhideWhenUsed/>
    <w:qFormat/>
    <w:uiPriority w:val="0"/>
  </w:style>
  <w:style w:type="paragraph" w:customStyle="1" w:styleId="16">
    <w:name w:val="批注框文本1"/>
    <w:basedOn w:val="1"/>
    <w:semiHidden/>
    <w:qFormat/>
    <w:uiPriority w:val="0"/>
    <w:rPr>
      <w:sz w:val="18"/>
      <w:szCs w:val="18"/>
    </w:rPr>
  </w:style>
  <w:style w:type="paragraph" w:customStyle="1" w:styleId="17">
    <w:name w:val="Revision"/>
    <w:semiHidden/>
    <w:qFormat/>
    <w:uiPriority w:val="99"/>
    <w:pPr>
      <w:spacing w:after="200" w:line="276"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2052-11.8.6.8722</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4</cp:revision>
  <cp:lastPrinted>2021-01-19T08:22:00Z</cp:lastPrinted>
  <dcterms:created xsi:type="dcterms:W3CDTF">2012-01-07T11:13:00Z</dcterms:created>
  <dcterms:modified xsi:type="dcterms:W3CDTF">2023-02-08T01:56:25Z</dcterms:modified>
</cp:coreProperties>
</file>

<file path=customXml/item4.xml><?xml version="1.0" encoding="utf-8"?>
<Properties xmlns:vt="http://schemas.openxmlformats.org/officeDocument/2006/docPropsVTypes" xmlns="http://schemas.openxmlformats.org/officeDocument/2006/extended-properties">
  <Template>Normal.dotm</Template>
  <TotalTime>157257600</TotalTime>
  <Pages>5</Pages>
  <Words>266</Words>
  <Characters>1522</Characters>
  <Application>WPS Office_11.1.0.10009_F1E327BC-269C-435d-A152-05C5408002CA</Application>
  <DocSecurity>0</DocSecurity>
  <Lines>12</Lines>
  <Paragraphs>3</Paragraphs>
  <Company>zhlx</Company>
  <CharactersWithSpaces>1785</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3faa2-40b1-4b84-93b7-989f4dc20488}">
  <ds:schemaRefs/>
</ds:datastoreItem>
</file>

<file path=customXml/itemProps3.xml><?xml version="1.0" encoding="utf-8"?>
<ds:datastoreItem xmlns:ds="http://schemas.openxmlformats.org/officeDocument/2006/customXml" ds:itemID="{bf26e419-5bc8-4d4f-8b81-ee70b83d056c}">
  <ds:schemaRefs/>
</ds:datastoreItem>
</file>

<file path=customXml/itemProps4.xml><?xml version="1.0" encoding="utf-8"?>
<ds:datastoreItem xmlns:ds="http://schemas.openxmlformats.org/officeDocument/2006/customXml" ds:itemID="{8d9beeba-d259-4a27-8c98-0d2eae49029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5</Pages>
  <Words>266</Words>
  <Characters>1522</Characters>
  <Lines>12</Lines>
  <Paragraphs>3</Paragraphs>
  <TotalTime>0</TotalTime>
  <ScaleCrop>false</ScaleCrop>
  <LinksUpToDate>false</LinksUpToDate>
  <CharactersWithSpaces>1785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佐佧依</cp:lastModifiedBy>
  <cp:lastPrinted>2021-01-19T08:22:00Z</cp:lastPrinted>
  <dcterms:modified xsi:type="dcterms:W3CDTF">2023-10-19T02:43:23Z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