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0"/>
        <w:jc w:val="center"/>
        <w:rPr>
          <w:rFonts w:ascii="黑体" w:hAnsi="黑体" w:eastAsia="黑体"/>
          <w:snapToGrid w:val="0"/>
          <w:sz w:val="30"/>
          <w:szCs w:val="30"/>
        </w:rPr>
      </w:pPr>
      <w:bookmarkStart w:id="0" w:name="_Toc24226"/>
      <w:r>
        <w:rPr>
          <w:rFonts w:ascii="黑体" w:hAnsi="黑体" w:eastAsia="黑体"/>
          <w:b/>
          <w:bCs/>
          <w:snapToGrid w:val="0"/>
          <w:sz w:val="30"/>
          <w:szCs w:val="30"/>
        </w:rPr>
        <w:t>前    言</w:t>
      </w:r>
      <w:bookmarkEnd w:id="0"/>
    </w:p>
    <w:p>
      <w:pPr>
        <w:spacing w:line="360" w:lineRule="auto"/>
        <w:ind w:firstLine="480" w:firstLineChars="200"/>
        <w:rPr>
          <w:sz w:val="24"/>
        </w:rPr>
      </w:pPr>
      <w:bookmarkStart w:id="1" w:name="_Hlk123048751"/>
      <w:bookmarkStart w:id="2" w:name="_Hlk138602695"/>
      <w:bookmarkStart w:id="3" w:name="_Hlk123049348"/>
      <w:r>
        <w:rPr>
          <w:rFonts w:hint="eastAsia"/>
          <w:sz w:val="24"/>
        </w:rPr>
        <w:t>砂石料作为主要建筑原料之一，在各种建筑工程中得到了广泛使用，目前尚无有效替代品能取代其地位。随着社会经济的快速发展，砂石料市场需求日益快速增加。澜沧江托巴电站2019年已进入建设施工阶段，托巴电站淹没区域移民安置工作也随之而至。在安置区新建过程中发现建筑材料筹集极其困难，所有建筑材料砂石，水泥，钢材及其它材料均需从江东岸运至江西岸，江西岸实际支出材料费用比江东岸高出两倍。就地可利用的砂石料从江东岸运至江西岸，每方费用增加20元至30元，且受运输条件制约。</w:t>
      </w:r>
    </w:p>
    <w:p>
      <w:pPr>
        <w:spacing w:line="360" w:lineRule="auto"/>
        <w:ind w:firstLine="480" w:firstLineChars="200"/>
        <w:rPr>
          <w:sz w:val="24"/>
        </w:rPr>
      </w:pPr>
      <w:r>
        <w:rPr>
          <w:rFonts w:hint="eastAsia"/>
          <w:sz w:val="24"/>
        </w:rPr>
        <w:t>为缓解澜沧江西岸安置区新建过程中砂石料紧缺的现状，维西旭雄建筑材料销售有限公司（下称“建设单位”，营业执照详见</w:t>
      </w:r>
      <w:r>
        <w:rPr>
          <w:rFonts w:hint="eastAsia"/>
          <w:b/>
          <w:sz w:val="24"/>
          <w:u w:val="single"/>
        </w:rPr>
        <w:t>附件1</w:t>
      </w:r>
      <w:r>
        <w:rPr>
          <w:rFonts w:hint="eastAsia"/>
          <w:sz w:val="24"/>
        </w:rPr>
        <w:t>）决定于维西傈僳族自治县白济汛乡下笼嘎投资建设“</w:t>
      </w:r>
      <w:bookmarkStart w:id="65" w:name="_GoBack"/>
      <w:r>
        <w:rPr>
          <w:rFonts w:hint="eastAsia"/>
          <w:sz w:val="24"/>
        </w:rPr>
        <w:t>年产2</w:t>
      </w:r>
      <w:r>
        <w:rPr>
          <w:sz w:val="24"/>
        </w:rPr>
        <w:t>.4万吨机制砂生产线</w:t>
      </w:r>
      <w:r>
        <w:rPr>
          <w:rFonts w:hint="eastAsia"/>
          <w:sz w:val="24"/>
        </w:rPr>
        <w:t>建设项目</w:t>
      </w:r>
      <w:bookmarkEnd w:id="65"/>
      <w:r>
        <w:rPr>
          <w:rFonts w:hint="eastAsia"/>
          <w:sz w:val="24"/>
        </w:rPr>
        <w:t>（下称“本项目”）”用于机制砂生产销售（项目地理位置详见</w:t>
      </w:r>
      <w:r>
        <w:rPr>
          <w:rFonts w:hint="eastAsia"/>
          <w:b/>
          <w:sz w:val="24"/>
          <w:u w:val="single"/>
        </w:rPr>
        <w:t>附图1</w:t>
      </w:r>
      <w:r>
        <w:rPr>
          <w:rFonts w:hint="eastAsia"/>
          <w:sz w:val="24"/>
        </w:rPr>
        <w:t>）。</w:t>
      </w:r>
      <w:r>
        <w:rPr>
          <w:rFonts w:hint="eastAsia"/>
          <w:color w:val="0000FF"/>
          <w:sz w:val="24"/>
        </w:rPr>
        <w:t>项目运营期建设单位向周边地区购买建筑施工场地开挖出的砂石含量大于8</w:t>
      </w:r>
      <w:r>
        <w:rPr>
          <w:color w:val="0000FF"/>
          <w:sz w:val="24"/>
        </w:rPr>
        <w:t>0%</w:t>
      </w:r>
      <w:r>
        <w:rPr>
          <w:rFonts w:hint="eastAsia"/>
          <w:color w:val="0000FF"/>
          <w:sz w:val="24"/>
        </w:rPr>
        <w:t>的砂石土作为生产原料由于机制砂生产。</w:t>
      </w:r>
    </w:p>
    <w:p>
      <w:pPr>
        <w:spacing w:line="360" w:lineRule="auto"/>
        <w:ind w:firstLine="480" w:firstLineChars="200"/>
        <w:rPr>
          <w:sz w:val="24"/>
        </w:rPr>
      </w:pPr>
      <w:r>
        <w:rPr>
          <w:rFonts w:hint="eastAsia"/>
          <w:sz w:val="24"/>
        </w:rPr>
        <w:t>本项目地理中心坐标</w:t>
      </w:r>
      <w:r>
        <w:rPr>
          <w:sz w:val="24"/>
        </w:rPr>
        <w:t>E：99°5′7.245″，N：27°21′13.755″</w:t>
      </w:r>
      <w:r>
        <w:rPr>
          <w:rFonts w:hint="eastAsia"/>
          <w:sz w:val="24"/>
        </w:rPr>
        <w:t>，用地均为临时用地。厂区拟建堆料场区、运输道路区、工业区、办公生活区、进场道路区。建设单位主要购买破碎机、振动筛、制砂机、洗砂机等生产设备组建年产2</w:t>
      </w:r>
      <w:r>
        <w:rPr>
          <w:sz w:val="24"/>
        </w:rPr>
        <w:t>.4万</w:t>
      </w:r>
      <w:r>
        <w:rPr>
          <w:rFonts w:hint="eastAsia"/>
          <w:sz w:val="24"/>
        </w:rPr>
        <w:t>吨机制砂生产线一条。对照《国民经济行业分类》（GB/T 4754-2017）（2019年修改），本项目国民经济行业类别为：C</w:t>
      </w:r>
      <w:r>
        <w:rPr>
          <w:sz w:val="24"/>
        </w:rPr>
        <w:t xml:space="preserve">3039 </w:t>
      </w:r>
      <w:r>
        <w:rPr>
          <w:rFonts w:hint="eastAsia"/>
          <w:sz w:val="24"/>
        </w:rPr>
        <w:t>其他建筑材料的制造；对照《建设项目环境影响评价分类管理名录（2021年版）》（中华人民共和国生态环境部部令第16号），属“二十七、非金属矿物制品业，303 砖瓦、石材等建筑材料制造，其他建筑材料制造”，需编制环境影响报告表。</w:t>
      </w:r>
    </w:p>
    <w:p>
      <w:pPr>
        <w:spacing w:line="360" w:lineRule="auto"/>
        <w:ind w:firstLine="480" w:firstLineChars="200"/>
        <w:rPr>
          <w:color w:val="0000FF"/>
          <w:sz w:val="24"/>
        </w:rPr>
      </w:pPr>
      <w:r>
        <w:rPr>
          <w:rFonts w:hint="eastAsia"/>
          <w:color w:val="0000FF"/>
          <w:sz w:val="24"/>
        </w:rPr>
        <w:t>由于维西旭雄建筑材料销售有限公司“年产2</w:t>
      </w:r>
      <w:r>
        <w:rPr>
          <w:color w:val="0000FF"/>
          <w:sz w:val="24"/>
        </w:rPr>
        <w:t>.4</w:t>
      </w:r>
      <w:r>
        <w:rPr>
          <w:rFonts w:hint="eastAsia"/>
          <w:color w:val="0000FF"/>
          <w:sz w:val="24"/>
        </w:rPr>
        <w:t>万吨机制砂生产线建设项目”在未取得环境影响评价行政许可前既开工建设，目前已建成水洗砂生产线1条;安装破碎机、振动筛、制砂机、洗砂机、传送带等生产设备。为此，2</w:t>
      </w:r>
      <w:r>
        <w:rPr>
          <w:color w:val="0000FF"/>
          <w:sz w:val="24"/>
        </w:rPr>
        <w:t>023</w:t>
      </w:r>
      <w:r>
        <w:rPr>
          <w:rFonts w:hint="eastAsia"/>
          <w:color w:val="0000FF"/>
          <w:sz w:val="24"/>
        </w:rPr>
        <w:t>年1</w:t>
      </w:r>
      <w:r>
        <w:rPr>
          <w:color w:val="0000FF"/>
          <w:sz w:val="24"/>
        </w:rPr>
        <w:t>0</w:t>
      </w:r>
      <w:r>
        <w:rPr>
          <w:rFonts w:hint="eastAsia"/>
          <w:color w:val="0000FF"/>
          <w:sz w:val="24"/>
        </w:rPr>
        <w:t>月</w:t>
      </w:r>
      <w:r>
        <w:rPr>
          <w:color w:val="0000FF"/>
          <w:sz w:val="24"/>
        </w:rPr>
        <w:t>24</w:t>
      </w:r>
      <w:r>
        <w:rPr>
          <w:rFonts w:hint="eastAsia"/>
          <w:color w:val="0000FF"/>
          <w:sz w:val="24"/>
        </w:rPr>
        <w:t>日，迪庆藏族自治州生态环境局维西分局向维西旭雄建筑材料销售有限公司下发约谈通知。2</w:t>
      </w:r>
      <w:r>
        <w:rPr>
          <w:color w:val="0000FF"/>
          <w:sz w:val="24"/>
        </w:rPr>
        <w:t>023</w:t>
      </w:r>
      <w:r>
        <w:rPr>
          <w:rFonts w:hint="eastAsia"/>
          <w:color w:val="0000FF"/>
          <w:sz w:val="24"/>
        </w:rPr>
        <w:t>年1</w:t>
      </w:r>
      <w:r>
        <w:rPr>
          <w:color w:val="0000FF"/>
          <w:sz w:val="24"/>
        </w:rPr>
        <w:t>0</w:t>
      </w:r>
      <w:r>
        <w:rPr>
          <w:rFonts w:hint="eastAsia"/>
          <w:color w:val="0000FF"/>
          <w:sz w:val="24"/>
        </w:rPr>
        <w:t>月2</w:t>
      </w:r>
      <w:r>
        <w:rPr>
          <w:color w:val="0000FF"/>
          <w:sz w:val="24"/>
        </w:rPr>
        <w:t>5</w:t>
      </w:r>
      <w:r>
        <w:rPr>
          <w:rFonts w:hint="eastAsia"/>
          <w:color w:val="0000FF"/>
          <w:sz w:val="24"/>
        </w:rPr>
        <w:t>日，迪庆藏族自治州生态环境局维西分局、维西旭雄建筑材料销售有限参加约谈会议，会议要求：一是严格按照《中华人民共和国环境影响评价法》和《建设项目环境保护管理条例》相关法律规定，加快办理相关环境影响评价手续，并落实建设项目大气、水、固废污染防治措施，在未取得环境影响评价行政许可及配套建设污染防治措施前，不得开工建设和投入生产；二是被约谈企业一定要认识到当前生态环境保护中存在问题的紧迫性、严重性，要深刻认识生态环境问.题整改工作的紧迫性和重要性，切实增强做好生态环境问题整改的主动性和责任感，主动承担起环境治理主体责任和社会责任。加强企业管理，领导干部和员工的宣传教育培训，认真学习习近平生态文明思想及环境保护相关法律法规，严格按照要求开展企业环境管理工作；三是针对通报的问题，被约谈企业要强化责任意识，高度负责，查摆问题根源，拿出行动，紧盯反馈问题，真抓实干，分类列出问题清单，制定整改方案，按照整改方案确定的措施、时间节点推进问题的整改，杜绝“表面整改”、“虚假整改”、“敷衍整改”；四是要狠抓工作落实，细化整改措施，举一反三，全面梳理排查本企业其他项目的环境风险隐患，深刻吸取教训，认真反思,对企业存在的环境问题和风险隐患进行地毯式、拉网式排查，细化整改措施，全面进行整改，杜绝同类问题在本企业及其他项目再次发生（约谈通知及约谈记录详见</w:t>
      </w:r>
      <w:r>
        <w:rPr>
          <w:rFonts w:hint="eastAsia"/>
          <w:b/>
          <w:color w:val="0000FF"/>
          <w:sz w:val="24"/>
          <w:u w:val="single"/>
        </w:rPr>
        <w:t>附件3</w:t>
      </w:r>
      <w:r>
        <w:rPr>
          <w:rFonts w:hint="eastAsia"/>
          <w:color w:val="0000FF"/>
          <w:sz w:val="24"/>
        </w:rPr>
        <w:t>）。</w:t>
      </w:r>
    </w:p>
    <w:p>
      <w:pPr>
        <w:spacing w:line="360" w:lineRule="auto"/>
        <w:ind w:firstLine="480" w:firstLineChars="200"/>
        <w:rPr>
          <w:sz w:val="24"/>
        </w:rPr>
      </w:pPr>
      <w:r>
        <w:rPr>
          <w:rFonts w:hint="eastAsia"/>
          <w:sz w:val="24"/>
        </w:rPr>
        <w:t>根据《中华人民共和国环境影响评价法》（2018年修正，2018年12月29日起施行）《建设项目环境保护管理条例》（2017年修正，2017年10月1日起施行）</w:t>
      </w:r>
      <w:r>
        <w:rPr>
          <w:rFonts w:hint="eastAsia"/>
          <w:color w:val="0000FF"/>
          <w:sz w:val="24"/>
        </w:rPr>
        <w:t>以及庆藏族自治州生态环境局维西分局相关约谈要求</w:t>
      </w:r>
      <w:r>
        <w:rPr>
          <w:rFonts w:hint="eastAsia"/>
          <w:sz w:val="24"/>
        </w:rPr>
        <w:t>，“年产2</w:t>
      </w:r>
      <w:r>
        <w:rPr>
          <w:sz w:val="24"/>
        </w:rPr>
        <w:t>.4万吨机制砂生产线</w:t>
      </w:r>
      <w:r>
        <w:rPr>
          <w:rFonts w:hint="eastAsia"/>
          <w:sz w:val="24"/>
        </w:rPr>
        <w:t>建设项目”需开展环境影响评价工作。</w:t>
      </w:r>
      <w:bookmarkStart w:id="4" w:name="_Hlk141258050"/>
      <w:r>
        <w:rPr>
          <w:rFonts w:hint="eastAsia"/>
          <w:sz w:val="24"/>
        </w:rPr>
        <w:t>为此，维西旭雄建筑材料销售有限公司于2委托云南丽源环境科技有限公司开展“年产2</w:t>
      </w:r>
      <w:r>
        <w:rPr>
          <w:sz w:val="24"/>
        </w:rPr>
        <w:t>.4万吨机制砂生产线</w:t>
      </w:r>
      <w:r>
        <w:rPr>
          <w:rFonts w:hint="eastAsia"/>
          <w:sz w:val="24"/>
        </w:rPr>
        <w:t>建设项目”环境影响评价工作（委托书详见</w:t>
      </w:r>
      <w:r>
        <w:rPr>
          <w:rFonts w:hint="eastAsia"/>
          <w:b/>
          <w:sz w:val="24"/>
          <w:u w:val="single"/>
        </w:rPr>
        <w:t>附件</w:t>
      </w:r>
      <w:r>
        <w:rPr>
          <w:b/>
          <w:sz w:val="24"/>
          <w:u w:val="single"/>
        </w:rPr>
        <w:t>2</w:t>
      </w:r>
      <w:r>
        <w:rPr>
          <w:rFonts w:hint="eastAsia"/>
          <w:sz w:val="24"/>
        </w:rPr>
        <w:t>）。我公司在接受委托后，由注册环评工程师牵头，组织相关技术人员进行现场踏勘调查。根据现场勘察，</w:t>
      </w:r>
      <w:bookmarkStart w:id="5" w:name="_Hlk141265336"/>
      <w:r>
        <w:rPr>
          <w:rFonts w:hint="eastAsia"/>
          <w:color w:val="0000FF"/>
          <w:sz w:val="24"/>
        </w:rPr>
        <w:t>“年产2</w:t>
      </w:r>
      <w:r>
        <w:rPr>
          <w:color w:val="0000FF"/>
          <w:sz w:val="24"/>
        </w:rPr>
        <w:t>.4万吨机制砂生产线</w:t>
      </w:r>
      <w:r>
        <w:rPr>
          <w:rFonts w:hint="eastAsia"/>
          <w:color w:val="0000FF"/>
          <w:sz w:val="24"/>
        </w:rPr>
        <w:t>建设项目”目前主体已建设完成</w:t>
      </w:r>
      <w:bookmarkEnd w:id="5"/>
      <w:r>
        <w:rPr>
          <w:rFonts w:hint="eastAsia"/>
          <w:color w:val="0000FF"/>
          <w:sz w:val="24"/>
        </w:rPr>
        <w:t>，在查清项目现状存在的环境问题及周边环境关系后，</w:t>
      </w:r>
      <w:r>
        <w:rPr>
          <w:rFonts w:hint="eastAsia"/>
          <w:sz w:val="24"/>
        </w:rPr>
        <w:t>我公司按照《建设项目环境影响报告表编制技术指南（污染影响类）（试行）》（环办环评[</w:t>
      </w:r>
      <w:r>
        <w:rPr>
          <w:sz w:val="24"/>
        </w:rPr>
        <w:t>2020]33</w:t>
      </w:r>
      <w:r>
        <w:rPr>
          <w:rFonts w:hint="eastAsia"/>
          <w:sz w:val="24"/>
        </w:rPr>
        <w:t>号）相关要求编制完成《年产2</w:t>
      </w:r>
      <w:r>
        <w:rPr>
          <w:sz w:val="24"/>
        </w:rPr>
        <w:t>.4万吨机制砂生产线</w:t>
      </w:r>
      <w:r>
        <w:rPr>
          <w:rFonts w:hint="eastAsia"/>
          <w:sz w:val="24"/>
        </w:rPr>
        <w:t>建设项目环境影响报告表（污染影响类）》，以供建设单位上报迪庆藏族自治州生态环境局维西分局审批，为项目后续建设运行提供参考。在开展环境影响评价工作过程中，我公司得到了迪庆藏族自治州生态环境局维西分局、环保行业专家的指导帮助以及建设单位的积极配合，在此表示感谢！</w:t>
      </w:r>
    </w:p>
    <w:bookmarkEnd w:id="1"/>
    <w:bookmarkEnd w:id="2"/>
    <w:bookmarkEnd w:id="3"/>
    <w:bookmarkEnd w:id="4"/>
    <w:p>
      <w:pPr>
        <w:spacing w:line="360" w:lineRule="auto"/>
        <w:ind w:firstLine="480" w:firstLineChars="200"/>
        <w:rPr>
          <w:sz w:val="24"/>
        </w:rPr>
      </w:pPr>
    </w:p>
    <w:p>
      <w:pPr>
        <w:jc w:val="center"/>
        <w:rPr>
          <w:rFonts w:ascii="宋体" w:hAnsi="宋体" w:cs="宋体"/>
          <w:b/>
          <w:bCs/>
          <w:sz w:val="32"/>
          <w:szCs w:val="32"/>
        </w:rPr>
        <w:sectPr>
          <w:footerReference r:id="rId3" w:type="default"/>
          <w:pgSz w:w="11906" w:h="16838"/>
          <w:pgMar w:top="1701" w:right="1531" w:bottom="1701" w:left="1531" w:header="851" w:footer="1077" w:gutter="0"/>
          <w:pgNumType w:fmt="upperRoman"/>
          <w:cols w:space="720" w:num="1"/>
          <w:docGrid w:linePitch="312" w:charSpace="0"/>
        </w:sectPr>
      </w:pPr>
    </w:p>
    <w:p>
      <w:pPr>
        <w:jc w:val="center"/>
        <w:rPr>
          <w:rFonts w:ascii="黑体" w:hAnsi="黑体" w:eastAsia="黑体" w:cs="宋体"/>
          <w:sz w:val="44"/>
          <w:szCs w:val="44"/>
        </w:rPr>
      </w:pPr>
      <w:r>
        <w:rPr>
          <w:rFonts w:hint="eastAsia" w:ascii="黑体" w:hAnsi="黑体" w:eastAsia="黑体" w:cs="宋体"/>
          <w:b/>
          <w:bCs/>
          <w:sz w:val="44"/>
          <w:szCs w:val="44"/>
        </w:rPr>
        <w:t>目  录</w:t>
      </w:r>
    </w:p>
    <w:sdt>
      <w:sdtPr>
        <w:rPr>
          <w:rFonts w:ascii="宋体" w:hAnsi="宋体"/>
          <w:kern w:val="0"/>
          <w:sz w:val="24"/>
          <w:szCs w:val="20"/>
        </w:rPr>
        <w:id w:val="147460028"/>
        <w15:color w:val="DBDBDB"/>
        <w:docPartObj>
          <w:docPartGallery w:val="Table of Contents"/>
          <w:docPartUnique/>
        </w:docPartObj>
      </w:sdtPr>
      <w:sdtEndPr>
        <w:rPr>
          <w:rFonts w:hint="eastAsia" w:ascii="黑体" w:hAnsi="黑体" w:eastAsia="黑体"/>
          <w:snapToGrid w:val="0"/>
          <w:kern w:val="0"/>
          <w:sz w:val="24"/>
          <w:szCs w:val="30"/>
        </w:rPr>
      </w:sdtEndPr>
      <w:sdtContent>
        <w:p>
          <w:pPr>
            <w:jc w:val="center"/>
          </w:pPr>
        </w:p>
        <w:p>
          <w:pPr>
            <w:pStyle w:val="25"/>
            <w:tabs>
              <w:tab w:val="right" w:leader="dot" w:pos="8834"/>
            </w:tabs>
            <w:spacing w:line="480" w:lineRule="auto"/>
            <w:rPr>
              <w:rFonts w:asciiTheme="minorHAnsi" w:hAnsiTheme="minorHAnsi" w:eastAsiaTheme="minorEastAsia" w:cstheme="minorBidi"/>
              <w:sz w:val="21"/>
              <w:szCs w:val="22"/>
            </w:rPr>
          </w:pPr>
          <w:r>
            <w:rPr>
              <w:rFonts w:hint="eastAsia" w:ascii="黑体" w:hAnsi="黑体" w:eastAsia="黑体" w:cstheme="minorBidi"/>
              <w:snapToGrid w:val="0"/>
              <w:sz w:val="30"/>
              <w:szCs w:val="30"/>
            </w:rPr>
            <w:fldChar w:fldCharType="begin"/>
          </w:r>
          <w:r>
            <w:rPr>
              <w:rFonts w:hint="eastAsia" w:ascii="黑体" w:hAnsi="黑体" w:eastAsia="黑体"/>
              <w:snapToGrid w:val="0"/>
              <w:sz w:val="30"/>
              <w:szCs w:val="30"/>
            </w:rPr>
            <w:instrText xml:space="preserve">TOC \o "1-1" \h \u </w:instrText>
          </w:r>
          <w:r>
            <w:rPr>
              <w:rFonts w:hint="eastAsia" w:ascii="黑体" w:hAnsi="黑体" w:eastAsia="黑体" w:cstheme="minorBidi"/>
              <w:snapToGrid w:val="0"/>
              <w:sz w:val="30"/>
              <w:szCs w:val="30"/>
            </w:rPr>
            <w:fldChar w:fldCharType="separate"/>
          </w:r>
          <w:r>
            <w:fldChar w:fldCharType="begin"/>
          </w:r>
          <w:r>
            <w:instrText xml:space="preserve"> HYPERLINK \l "_Toc140064119" </w:instrText>
          </w:r>
          <w:r>
            <w:fldChar w:fldCharType="separate"/>
          </w:r>
          <w:r>
            <w:rPr>
              <w:rStyle w:val="39"/>
              <w:rFonts w:ascii="黑体" w:hAnsi="黑体" w:eastAsia="黑体"/>
              <w:snapToGrid w:val="0"/>
              <w:color w:val="auto"/>
            </w:rPr>
            <w:t>一、</w:t>
          </w:r>
          <w:r>
            <w:rPr>
              <w:rStyle w:val="39"/>
              <w:rFonts w:ascii="黑体" w:hAnsi="黑体" w:eastAsia="黑体"/>
              <w:b/>
              <w:bCs/>
              <w:snapToGrid w:val="0"/>
              <w:color w:val="auto"/>
            </w:rPr>
            <w:t>建设项目基本情况</w:t>
          </w:r>
          <w:r>
            <w:tab/>
          </w:r>
          <w:r>
            <w:fldChar w:fldCharType="begin"/>
          </w:r>
          <w:r>
            <w:instrText xml:space="preserve"> PAGEREF _Toc140064119 \h </w:instrText>
          </w:r>
          <w:r>
            <w:fldChar w:fldCharType="separate"/>
          </w:r>
          <w:r>
            <w:t>1</w:t>
          </w:r>
          <w:r>
            <w:fldChar w:fldCharType="end"/>
          </w:r>
          <w:r>
            <w:fldChar w:fldCharType="end"/>
          </w:r>
        </w:p>
        <w:p>
          <w:pPr>
            <w:pStyle w:val="25"/>
            <w:tabs>
              <w:tab w:val="right" w:leader="dot" w:pos="8834"/>
            </w:tabs>
            <w:spacing w:line="480" w:lineRule="auto"/>
            <w:rPr>
              <w:rFonts w:asciiTheme="minorHAnsi" w:hAnsiTheme="minorHAnsi" w:eastAsiaTheme="minorEastAsia" w:cstheme="minorBidi"/>
              <w:sz w:val="21"/>
              <w:szCs w:val="22"/>
            </w:rPr>
          </w:pPr>
          <w:r>
            <w:fldChar w:fldCharType="begin"/>
          </w:r>
          <w:r>
            <w:instrText xml:space="preserve"> HYPERLINK \l "_Toc140064120" </w:instrText>
          </w:r>
          <w:r>
            <w:fldChar w:fldCharType="separate"/>
          </w:r>
          <w:r>
            <w:rPr>
              <w:rStyle w:val="39"/>
              <w:rFonts w:ascii="黑体" w:hAnsi="黑体" w:eastAsia="黑体"/>
              <w:b/>
              <w:bCs/>
              <w:snapToGrid w:val="0"/>
              <w:color w:val="auto"/>
            </w:rPr>
            <w:t>二、 建设项目工程分析</w:t>
          </w:r>
          <w:r>
            <w:tab/>
          </w:r>
          <w:r>
            <w:fldChar w:fldCharType="begin"/>
          </w:r>
          <w:r>
            <w:instrText xml:space="preserve"> PAGEREF _Toc140064120 \h </w:instrText>
          </w:r>
          <w:r>
            <w:fldChar w:fldCharType="separate"/>
          </w:r>
          <w:r>
            <w:t>20</w:t>
          </w:r>
          <w:r>
            <w:fldChar w:fldCharType="end"/>
          </w:r>
          <w:r>
            <w:fldChar w:fldCharType="end"/>
          </w:r>
        </w:p>
        <w:p>
          <w:pPr>
            <w:pStyle w:val="25"/>
            <w:tabs>
              <w:tab w:val="right" w:leader="dot" w:pos="8834"/>
            </w:tabs>
            <w:spacing w:line="480" w:lineRule="auto"/>
            <w:rPr>
              <w:rFonts w:asciiTheme="minorHAnsi" w:hAnsiTheme="minorHAnsi" w:eastAsiaTheme="minorEastAsia" w:cstheme="minorBidi"/>
              <w:sz w:val="21"/>
              <w:szCs w:val="22"/>
            </w:rPr>
          </w:pPr>
          <w:r>
            <w:fldChar w:fldCharType="begin"/>
          </w:r>
          <w:r>
            <w:instrText xml:space="preserve"> HYPERLINK \l "_Toc140064121" </w:instrText>
          </w:r>
          <w:r>
            <w:fldChar w:fldCharType="separate"/>
          </w:r>
          <w:r>
            <w:rPr>
              <w:rStyle w:val="39"/>
              <w:rFonts w:ascii="黑体" w:hAnsi="黑体" w:eastAsia="黑体"/>
              <w:b/>
              <w:bCs/>
              <w:snapToGrid w:val="0"/>
              <w:color w:val="auto"/>
            </w:rPr>
            <w:t>三、区域环境质量现状、环境保护目标及评价标准</w:t>
          </w:r>
          <w:r>
            <w:tab/>
          </w:r>
          <w:r>
            <w:fldChar w:fldCharType="begin"/>
          </w:r>
          <w:r>
            <w:instrText xml:space="preserve"> PAGEREF _Toc140064121 \h </w:instrText>
          </w:r>
          <w:r>
            <w:fldChar w:fldCharType="separate"/>
          </w:r>
          <w:r>
            <w:t>32</w:t>
          </w:r>
          <w:r>
            <w:fldChar w:fldCharType="end"/>
          </w:r>
          <w:r>
            <w:fldChar w:fldCharType="end"/>
          </w:r>
        </w:p>
        <w:p>
          <w:pPr>
            <w:pStyle w:val="25"/>
            <w:tabs>
              <w:tab w:val="right" w:leader="dot" w:pos="8834"/>
            </w:tabs>
            <w:spacing w:line="480" w:lineRule="auto"/>
            <w:rPr>
              <w:rFonts w:asciiTheme="minorHAnsi" w:hAnsiTheme="minorHAnsi" w:eastAsiaTheme="minorEastAsia" w:cstheme="minorBidi"/>
              <w:sz w:val="21"/>
              <w:szCs w:val="22"/>
            </w:rPr>
          </w:pPr>
          <w:r>
            <w:fldChar w:fldCharType="begin"/>
          </w:r>
          <w:r>
            <w:instrText xml:space="preserve"> HYPERLINK \l "_Toc140064122" </w:instrText>
          </w:r>
          <w:r>
            <w:fldChar w:fldCharType="separate"/>
          </w:r>
          <w:r>
            <w:rPr>
              <w:rStyle w:val="39"/>
              <w:rFonts w:ascii="黑体" w:hAnsi="黑体" w:eastAsia="黑体"/>
              <w:b/>
              <w:bCs/>
              <w:snapToGrid w:val="0"/>
              <w:color w:val="auto"/>
            </w:rPr>
            <w:t>四、主要环境影响和保护措施</w:t>
          </w:r>
          <w:r>
            <w:tab/>
          </w:r>
          <w:r>
            <w:fldChar w:fldCharType="begin"/>
          </w:r>
          <w:r>
            <w:instrText xml:space="preserve"> PAGEREF _Toc140064122 \h </w:instrText>
          </w:r>
          <w:r>
            <w:fldChar w:fldCharType="separate"/>
          </w:r>
          <w:r>
            <w:t>41</w:t>
          </w:r>
          <w:r>
            <w:fldChar w:fldCharType="end"/>
          </w:r>
          <w:r>
            <w:fldChar w:fldCharType="end"/>
          </w:r>
        </w:p>
        <w:p>
          <w:pPr>
            <w:pStyle w:val="25"/>
            <w:tabs>
              <w:tab w:val="right" w:leader="dot" w:pos="8834"/>
            </w:tabs>
            <w:spacing w:line="480" w:lineRule="auto"/>
            <w:rPr>
              <w:rFonts w:asciiTheme="minorHAnsi" w:hAnsiTheme="minorHAnsi" w:eastAsiaTheme="minorEastAsia" w:cstheme="minorBidi"/>
              <w:sz w:val="21"/>
              <w:szCs w:val="22"/>
            </w:rPr>
          </w:pPr>
          <w:r>
            <w:fldChar w:fldCharType="begin"/>
          </w:r>
          <w:r>
            <w:instrText xml:space="preserve"> HYPERLINK \l "_Toc140064123" </w:instrText>
          </w:r>
          <w:r>
            <w:fldChar w:fldCharType="separate"/>
          </w:r>
          <w:r>
            <w:rPr>
              <w:rStyle w:val="39"/>
              <w:rFonts w:ascii="黑体" w:hAnsi="黑体" w:eastAsia="黑体"/>
              <w:b/>
              <w:bCs/>
              <w:snapToGrid w:val="0"/>
              <w:color w:val="auto"/>
            </w:rPr>
            <w:t>五、环境保护措施监督检查清单</w:t>
          </w:r>
          <w:r>
            <w:tab/>
          </w:r>
          <w:r>
            <w:fldChar w:fldCharType="begin"/>
          </w:r>
          <w:r>
            <w:instrText xml:space="preserve"> PAGEREF _Toc140064123 \h </w:instrText>
          </w:r>
          <w:r>
            <w:fldChar w:fldCharType="separate"/>
          </w:r>
          <w:r>
            <w:t>71</w:t>
          </w:r>
          <w:r>
            <w:fldChar w:fldCharType="end"/>
          </w:r>
          <w:r>
            <w:fldChar w:fldCharType="end"/>
          </w:r>
        </w:p>
        <w:p>
          <w:pPr>
            <w:pStyle w:val="25"/>
            <w:tabs>
              <w:tab w:val="right" w:leader="dot" w:pos="8834"/>
            </w:tabs>
            <w:spacing w:line="480" w:lineRule="auto"/>
            <w:rPr>
              <w:rFonts w:asciiTheme="minorHAnsi" w:hAnsiTheme="minorHAnsi" w:eastAsiaTheme="minorEastAsia" w:cstheme="minorBidi"/>
              <w:sz w:val="21"/>
              <w:szCs w:val="22"/>
            </w:rPr>
          </w:pPr>
          <w:r>
            <w:fldChar w:fldCharType="begin"/>
          </w:r>
          <w:r>
            <w:instrText xml:space="preserve"> HYPERLINK \l "_Toc140064124" </w:instrText>
          </w:r>
          <w:r>
            <w:fldChar w:fldCharType="separate"/>
          </w:r>
          <w:r>
            <w:rPr>
              <w:rStyle w:val="39"/>
              <w:rFonts w:ascii="黑体" w:hAnsi="黑体" w:eastAsia="黑体"/>
              <w:b/>
              <w:bCs/>
              <w:snapToGrid w:val="0"/>
              <w:color w:val="auto"/>
            </w:rPr>
            <w:t>六、结论</w:t>
          </w:r>
          <w:r>
            <w:tab/>
          </w:r>
          <w:r>
            <w:fldChar w:fldCharType="begin"/>
          </w:r>
          <w:r>
            <w:instrText xml:space="preserve"> PAGEREF _Toc140064124 \h </w:instrText>
          </w:r>
          <w:r>
            <w:fldChar w:fldCharType="separate"/>
          </w:r>
          <w:r>
            <w:t>77</w:t>
          </w:r>
          <w:r>
            <w:fldChar w:fldCharType="end"/>
          </w:r>
          <w:r>
            <w:fldChar w:fldCharType="end"/>
          </w:r>
        </w:p>
        <w:p>
          <w:pPr>
            <w:pStyle w:val="30"/>
            <w:jc w:val="both"/>
            <w:rPr>
              <w:rFonts w:ascii="黑体" w:hAnsi="黑体" w:eastAsia="黑体"/>
              <w:snapToGrid w:val="0"/>
              <w:sz w:val="30"/>
              <w:szCs w:val="30"/>
            </w:rPr>
          </w:pPr>
          <w:r>
            <w:rPr>
              <w:rFonts w:hint="eastAsia" w:ascii="黑体" w:hAnsi="黑体" w:eastAsia="黑体"/>
              <w:snapToGrid w:val="0"/>
              <w:szCs w:val="30"/>
            </w:rPr>
            <w:fldChar w:fldCharType="end"/>
          </w:r>
        </w:p>
      </w:sdtContent>
    </w:sdt>
    <w:p>
      <w:pPr>
        <w:pStyle w:val="30"/>
        <w:jc w:val="center"/>
        <w:rPr>
          <w:rFonts w:ascii="黑体" w:hAnsi="黑体" w:eastAsia="黑体"/>
          <w:snapToGrid w:val="0"/>
          <w:sz w:val="30"/>
          <w:szCs w:val="30"/>
        </w:rPr>
      </w:pPr>
    </w:p>
    <w:p>
      <w:pPr>
        <w:rPr>
          <w:rFonts w:ascii="黑体" w:hAnsi="黑体" w:eastAsia="黑体"/>
          <w:snapToGrid w:val="0"/>
          <w:sz w:val="30"/>
          <w:szCs w:val="30"/>
        </w:rPr>
      </w:pPr>
      <w:r>
        <w:rPr>
          <w:rFonts w:hint="eastAsia" w:ascii="黑体" w:hAnsi="黑体" w:eastAsia="黑体"/>
          <w:snapToGrid w:val="0"/>
          <w:sz w:val="30"/>
          <w:szCs w:val="30"/>
        </w:rPr>
        <w:br w:type="page"/>
      </w:r>
    </w:p>
    <w:p>
      <w:pPr>
        <w:spacing w:line="360" w:lineRule="auto"/>
        <w:jc w:val="left"/>
        <w:rPr>
          <w:rFonts w:ascii="黑体" w:hAnsi="黑体" w:eastAsia="黑体" w:cs="黑体"/>
          <w:b/>
          <w:bCs/>
          <w:snapToGrid w:val="0"/>
          <w:sz w:val="24"/>
        </w:rPr>
      </w:pPr>
      <w:bookmarkStart w:id="6" w:name="_Hlk122340378"/>
      <w:bookmarkStart w:id="7" w:name="_Hlk143501821"/>
      <w:r>
        <w:rPr>
          <w:rFonts w:hint="eastAsia" w:ascii="黑体" w:hAnsi="黑体" w:eastAsia="黑体" w:cs="黑体"/>
          <w:b/>
          <w:bCs/>
          <w:snapToGrid w:val="0"/>
          <w:sz w:val="24"/>
        </w:rPr>
        <w:t>附表</w:t>
      </w:r>
    </w:p>
    <w:p>
      <w:pPr>
        <w:spacing w:line="360" w:lineRule="auto"/>
        <w:jc w:val="left"/>
        <w:rPr>
          <w:snapToGrid w:val="0"/>
          <w:sz w:val="24"/>
        </w:rPr>
      </w:pPr>
      <w:r>
        <w:rPr>
          <w:snapToGrid w:val="0"/>
          <w:sz w:val="24"/>
        </w:rPr>
        <w:t>附表1：建设项目污染物排放量汇总表</w:t>
      </w:r>
    </w:p>
    <w:p>
      <w:pPr>
        <w:spacing w:line="360" w:lineRule="auto"/>
        <w:jc w:val="left"/>
        <w:rPr>
          <w:rFonts w:ascii="黑体" w:hAnsi="黑体" w:eastAsia="黑体" w:cs="黑体"/>
          <w:b/>
          <w:bCs/>
          <w:snapToGrid w:val="0"/>
          <w:sz w:val="24"/>
        </w:rPr>
      </w:pPr>
      <w:r>
        <w:rPr>
          <w:rFonts w:hint="eastAsia" w:ascii="黑体" w:hAnsi="黑体" w:eastAsia="黑体" w:cs="黑体"/>
          <w:b/>
          <w:bCs/>
          <w:snapToGrid w:val="0"/>
          <w:sz w:val="24"/>
        </w:rPr>
        <w:t>附图：</w:t>
      </w:r>
    </w:p>
    <w:p>
      <w:pPr>
        <w:spacing w:line="360" w:lineRule="auto"/>
        <w:rPr>
          <w:sz w:val="24"/>
        </w:rPr>
      </w:pPr>
      <w:r>
        <w:rPr>
          <w:rFonts w:hint="eastAsia"/>
          <w:sz w:val="24"/>
        </w:rPr>
        <w:t>附图1：项目地理位置图</w:t>
      </w:r>
    </w:p>
    <w:p>
      <w:pPr>
        <w:spacing w:line="360" w:lineRule="auto"/>
        <w:rPr>
          <w:sz w:val="24"/>
        </w:rPr>
      </w:pPr>
      <w:r>
        <w:rPr>
          <w:rFonts w:hint="eastAsia"/>
          <w:sz w:val="24"/>
        </w:rPr>
        <w:t>附图2：项目平面布置图</w:t>
      </w:r>
    </w:p>
    <w:p>
      <w:pPr>
        <w:spacing w:line="360" w:lineRule="auto"/>
        <w:rPr>
          <w:sz w:val="24"/>
        </w:rPr>
      </w:pPr>
      <w:r>
        <w:rPr>
          <w:rFonts w:hint="eastAsia"/>
          <w:sz w:val="24"/>
        </w:rPr>
        <w:t>附图3：项目周边关系图</w:t>
      </w:r>
    </w:p>
    <w:p>
      <w:pPr>
        <w:spacing w:line="360" w:lineRule="auto"/>
        <w:rPr>
          <w:sz w:val="24"/>
        </w:rPr>
      </w:pPr>
      <w:r>
        <w:rPr>
          <w:rFonts w:hint="eastAsia"/>
          <w:sz w:val="24"/>
        </w:rPr>
        <w:t>附图</w:t>
      </w:r>
      <w:r>
        <w:rPr>
          <w:sz w:val="24"/>
        </w:rPr>
        <w:t>4</w:t>
      </w:r>
      <w:r>
        <w:rPr>
          <w:rFonts w:hint="eastAsia"/>
          <w:sz w:val="24"/>
        </w:rPr>
        <w:t>：项目区域水系图</w:t>
      </w:r>
    </w:p>
    <w:p>
      <w:pPr>
        <w:pStyle w:val="13"/>
        <w:spacing w:line="360" w:lineRule="auto"/>
        <w:ind w:firstLine="0"/>
        <w:jc w:val="left"/>
        <w:rPr>
          <w:snapToGrid w:val="0"/>
        </w:rPr>
      </w:pPr>
      <w:r>
        <w:rPr>
          <w:rFonts w:hint="eastAsia" w:ascii="黑体" w:hAnsi="黑体" w:eastAsia="黑体" w:cs="黑体"/>
          <w:b/>
          <w:bCs/>
          <w:snapToGrid w:val="0"/>
        </w:rPr>
        <w:t>附件</w:t>
      </w:r>
      <w:r>
        <w:rPr>
          <w:snapToGrid w:val="0"/>
        </w:rPr>
        <w:t>：</w:t>
      </w:r>
    </w:p>
    <w:bookmarkEnd w:id="6"/>
    <w:bookmarkEnd w:id="7"/>
    <w:p>
      <w:pPr>
        <w:spacing w:line="360" w:lineRule="auto"/>
        <w:rPr>
          <w:sz w:val="24"/>
        </w:rPr>
      </w:pPr>
      <w:r>
        <w:rPr>
          <w:rFonts w:hint="eastAsia"/>
          <w:sz w:val="24"/>
        </w:rPr>
        <w:t>附件1：建设单位营业执照</w:t>
      </w:r>
    </w:p>
    <w:p>
      <w:pPr>
        <w:spacing w:line="360" w:lineRule="auto"/>
        <w:rPr>
          <w:sz w:val="24"/>
        </w:rPr>
      </w:pPr>
      <w:r>
        <w:rPr>
          <w:rFonts w:hint="eastAsia"/>
          <w:sz w:val="24"/>
        </w:rPr>
        <w:t>附件2：项目环境影响评价委托书</w:t>
      </w:r>
    </w:p>
    <w:p>
      <w:pPr>
        <w:spacing w:line="360" w:lineRule="auto"/>
        <w:rPr>
          <w:sz w:val="24"/>
        </w:rPr>
      </w:pPr>
      <w:r>
        <w:rPr>
          <w:rFonts w:hint="eastAsia"/>
          <w:sz w:val="24"/>
        </w:rPr>
        <w:t>附件3：约谈通知及约谈记录表</w:t>
      </w:r>
    </w:p>
    <w:p>
      <w:pPr>
        <w:spacing w:line="360" w:lineRule="auto"/>
        <w:rPr>
          <w:sz w:val="24"/>
        </w:rPr>
      </w:pPr>
      <w:r>
        <w:rPr>
          <w:rFonts w:hint="eastAsia"/>
          <w:sz w:val="24"/>
        </w:rPr>
        <w:t>附件</w:t>
      </w:r>
      <w:r>
        <w:rPr>
          <w:sz w:val="24"/>
        </w:rPr>
        <w:t>4</w:t>
      </w:r>
      <w:r>
        <w:rPr>
          <w:rFonts w:hint="eastAsia"/>
          <w:sz w:val="24"/>
        </w:rPr>
        <w:t>：</w:t>
      </w:r>
      <w:r>
        <w:rPr>
          <w:rFonts w:hint="eastAsia"/>
          <w:kern w:val="0"/>
          <w:sz w:val="24"/>
        </w:rPr>
        <w:t>生态红线数据查询审批表</w:t>
      </w:r>
    </w:p>
    <w:p>
      <w:pPr>
        <w:spacing w:line="360" w:lineRule="auto"/>
        <w:rPr>
          <w:sz w:val="24"/>
        </w:rPr>
      </w:pPr>
      <w:r>
        <w:rPr>
          <w:rFonts w:hint="eastAsia"/>
          <w:sz w:val="24"/>
        </w:rPr>
        <w:t>附件</w:t>
      </w:r>
      <w:r>
        <w:rPr>
          <w:sz w:val="24"/>
        </w:rPr>
        <w:t>5</w:t>
      </w:r>
      <w:r>
        <w:rPr>
          <w:rFonts w:hint="eastAsia"/>
          <w:sz w:val="24"/>
        </w:rPr>
        <w:t>：项目水土保持承诺书</w:t>
      </w:r>
    </w:p>
    <w:p>
      <w:pPr>
        <w:spacing w:line="360" w:lineRule="auto"/>
        <w:rPr>
          <w:sz w:val="24"/>
        </w:rPr>
      </w:pPr>
      <w:r>
        <w:rPr>
          <w:rFonts w:hint="eastAsia"/>
          <w:sz w:val="24"/>
        </w:rPr>
        <w:t>附件</w:t>
      </w:r>
      <w:r>
        <w:rPr>
          <w:sz w:val="24"/>
        </w:rPr>
        <w:t>6</w:t>
      </w:r>
      <w:r>
        <w:rPr>
          <w:rFonts w:hint="eastAsia"/>
          <w:sz w:val="24"/>
        </w:rPr>
        <w:t>：环境质量现状补充监测报告</w:t>
      </w:r>
    </w:p>
    <w:p>
      <w:pPr>
        <w:spacing w:line="360" w:lineRule="auto"/>
        <w:rPr>
          <w:sz w:val="24"/>
        </w:rPr>
      </w:pPr>
      <w:r>
        <w:rPr>
          <w:rFonts w:hint="eastAsia"/>
          <w:sz w:val="24"/>
        </w:rPr>
        <w:t>附件</w:t>
      </w:r>
      <w:r>
        <w:rPr>
          <w:sz w:val="24"/>
        </w:rPr>
        <w:t>7</w:t>
      </w:r>
      <w:r>
        <w:rPr>
          <w:rFonts w:hint="eastAsia"/>
          <w:sz w:val="24"/>
        </w:rPr>
        <w:t>：项目进度管理及内部审查情况</w:t>
      </w:r>
    </w:p>
    <w:p>
      <w:pPr>
        <w:spacing w:line="360" w:lineRule="auto"/>
        <w:rPr>
          <w:sz w:val="24"/>
        </w:rPr>
      </w:pPr>
      <w:r>
        <w:rPr>
          <w:rFonts w:hint="eastAsia"/>
          <w:sz w:val="24"/>
        </w:rPr>
        <w:t>附件</w:t>
      </w:r>
      <w:r>
        <w:rPr>
          <w:sz w:val="24"/>
        </w:rPr>
        <w:t>8</w:t>
      </w:r>
      <w:r>
        <w:rPr>
          <w:rFonts w:hint="eastAsia"/>
          <w:sz w:val="24"/>
        </w:rPr>
        <w:t>：技术审查意见及参会人员名单</w:t>
      </w:r>
    </w:p>
    <w:p>
      <w:pPr>
        <w:spacing w:line="360" w:lineRule="auto"/>
        <w:rPr>
          <w:sz w:val="24"/>
        </w:rPr>
      </w:pPr>
      <w:r>
        <w:rPr>
          <w:rFonts w:hint="eastAsia"/>
          <w:sz w:val="24"/>
        </w:rPr>
        <w:t>附件</w:t>
      </w:r>
      <w:r>
        <w:rPr>
          <w:sz w:val="24"/>
        </w:rPr>
        <w:t>9</w:t>
      </w:r>
      <w:r>
        <w:rPr>
          <w:rFonts w:hint="eastAsia"/>
          <w:sz w:val="24"/>
        </w:rPr>
        <w:t>：修改对照表</w:t>
      </w:r>
    </w:p>
    <w:p>
      <w:pPr>
        <w:spacing w:line="360" w:lineRule="auto"/>
        <w:rPr>
          <w:sz w:val="24"/>
        </w:rPr>
      </w:pPr>
    </w:p>
    <w:p>
      <w:pPr>
        <w:spacing w:line="360" w:lineRule="auto"/>
        <w:ind w:firstLine="480" w:firstLineChars="200"/>
        <w:jc w:val="left"/>
        <w:rPr>
          <w:snapToGrid w:val="0"/>
          <w:sz w:val="24"/>
        </w:rPr>
        <w:sectPr>
          <w:footerReference r:id="rId4" w:type="default"/>
          <w:pgSz w:w="11906" w:h="16838"/>
          <w:pgMar w:top="1701" w:right="1531" w:bottom="1701" w:left="1531" w:header="851" w:footer="1077" w:gutter="0"/>
          <w:pgNumType w:fmt="upperRoman" w:start="1"/>
          <w:cols w:space="720" w:num="1"/>
          <w:docGrid w:linePitch="312" w:charSpace="0"/>
        </w:sectPr>
      </w:pPr>
    </w:p>
    <w:p>
      <w:pPr>
        <w:pStyle w:val="30"/>
        <w:spacing w:before="0" w:beforeAutospacing="0" w:after="0" w:afterAutospacing="0"/>
        <w:jc w:val="center"/>
        <w:outlineLvl w:val="0"/>
        <w:rPr>
          <w:rFonts w:ascii="黑体" w:hAnsi="黑体" w:eastAsia="黑体"/>
          <w:snapToGrid w:val="0"/>
          <w:sz w:val="30"/>
          <w:szCs w:val="30"/>
        </w:rPr>
      </w:pPr>
      <w:bookmarkStart w:id="8" w:name="_Toc140064119"/>
      <w:bookmarkStart w:id="9" w:name="_Hlk117185896"/>
      <w:r>
        <w:rPr>
          <w:rFonts w:ascii="黑体" w:hAnsi="黑体" w:eastAsia="黑体"/>
          <w:snapToGrid w:val="0"/>
          <w:sz w:val="30"/>
          <w:szCs w:val="30"/>
        </w:rPr>
        <w:t>一、</w:t>
      </w:r>
      <w:r>
        <w:rPr>
          <w:rFonts w:ascii="黑体" w:hAnsi="黑体" w:eastAsia="黑体"/>
          <w:b/>
          <w:bCs/>
          <w:snapToGrid w:val="0"/>
          <w:sz w:val="30"/>
          <w:szCs w:val="30"/>
        </w:rPr>
        <w:t>建设项目基本情况</w:t>
      </w:r>
      <w:bookmarkEnd w:id="8"/>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617"/>
        <w:gridCol w:w="1074"/>
        <w:gridCol w:w="2304"/>
        <w:gridCol w:w="1911"/>
        <w:gridCol w:w="648"/>
        <w:gridCol w:w="1181"/>
        <w:gridCol w:w="10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691" w:type="dxa"/>
            <w:gridSpan w:val="2"/>
            <w:tcMar>
              <w:top w:w="16" w:type="dxa"/>
              <w:left w:w="16" w:type="dxa"/>
              <w:right w:w="16" w:type="dxa"/>
            </w:tcMar>
            <w:vAlign w:val="center"/>
          </w:tcPr>
          <w:p>
            <w:pPr>
              <w:adjustRightInd w:val="0"/>
              <w:snapToGrid w:val="0"/>
              <w:jc w:val="center"/>
              <w:rPr>
                <w:sz w:val="24"/>
              </w:rPr>
            </w:pPr>
            <w:r>
              <w:rPr>
                <w:sz w:val="24"/>
              </w:rPr>
              <w:t>建设项目名称</w:t>
            </w:r>
          </w:p>
        </w:tc>
        <w:tc>
          <w:tcPr>
            <w:tcW w:w="7133" w:type="dxa"/>
            <w:gridSpan w:val="5"/>
            <w:vAlign w:val="center"/>
          </w:tcPr>
          <w:p>
            <w:pPr>
              <w:adjustRightInd w:val="0"/>
              <w:snapToGrid w:val="0"/>
              <w:jc w:val="center"/>
              <w:rPr>
                <w:sz w:val="24"/>
              </w:rPr>
            </w:pPr>
            <w:r>
              <w:rPr>
                <w:rFonts w:hint="eastAsia"/>
                <w:sz w:val="24"/>
              </w:rPr>
              <w:t>年产2</w:t>
            </w:r>
            <w:r>
              <w:rPr>
                <w:sz w:val="24"/>
              </w:rPr>
              <w:t>.4万吨机制砂生产线</w:t>
            </w:r>
            <w:r>
              <w:rPr>
                <w:rFonts w:hint="eastAsia"/>
                <w:sz w:val="24"/>
              </w:rPr>
              <w:t>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691" w:type="dxa"/>
            <w:gridSpan w:val="2"/>
            <w:tcMar>
              <w:top w:w="16" w:type="dxa"/>
              <w:left w:w="16" w:type="dxa"/>
              <w:right w:w="16" w:type="dxa"/>
            </w:tcMar>
            <w:vAlign w:val="center"/>
          </w:tcPr>
          <w:p>
            <w:pPr>
              <w:adjustRightInd w:val="0"/>
              <w:snapToGrid w:val="0"/>
              <w:jc w:val="center"/>
              <w:rPr>
                <w:sz w:val="24"/>
              </w:rPr>
            </w:pPr>
            <w:r>
              <w:rPr>
                <w:sz w:val="24"/>
              </w:rPr>
              <w:t>项目代码</w:t>
            </w:r>
          </w:p>
        </w:tc>
        <w:tc>
          <w:tcPr>
            <w:tcW w:w="7133" w:type="dxa"/>
            <w:gridSpan w:val="5"/>
            <w:vAlign w:val="center"/>
          </w:tcPr>
          <w:p>
            <w:pPr>
              <w:adjustRightInd w:val="0"/>
              <w:snapToGrid w:val="0"/>
              <w:jc w:val="center"/>
              <w:rPr>
                <w:sz w:val="24"/>
              </w:rPr>
            </w:pPr>
            <w:r>
              <w:rPr>
                <w:rFonts w:hint="eastAsia"/>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691" w:type="dxa"/>
            <w:gridSpan w:val="2"/>
            <w:tcMar>
              <w:top w:w="16" w:type="dxa"/>
              <w:left w:w="16" w:type="dxa"/>
              <w:right w:w="16" w:type="dxa"/>
            </w:tcMar>
            <w:vAlign w:val="center"/>
          </w:tcPr>
          <w:p>
            <w:pPr>
              <w:adjustRightInd w:val="0"/>
              <w:snapToGrid w:val="0"/>
              <w:jc w:val="center"/>
              <w:rPr>
                <w:sz w:val="24"/>
              </w:rPr>
            </w:pPr>
            <w:r>
              <w:rPr>
                <w:sz w:val="24"/>
              </w:rPr>
              <w:t>建设单位联系人</w:t>
            </w:r>
          </w:p>
        </w:tc>
        <w:tc>
          <w:tcPr>
            <w:tcW w:w="2304" w:type="dxa"/>
            <w:vAlign w:val="center"/>
          </w:tcPr>
          <w:p>
            <w:pPr>
              <w:adjustRightInd w:val="0"/>
              <w:snapToGrid w:val="0"/>
              <w:jc w:val="center"/>
              <w:rPr>
                <w:sz w:val="24"/>
              </w:rPr>
            </w:pPr>
            <w:r>
              <w:rPr>
                <w:rFonts w:hint="eastAsia"/>
                <w:sz w:val="24"/>
              </w:rPr>
              <w:t>李建雄</w:t>
            </w:r>
          </w:p>
        </w:tc>
        <w:tc>
          <w:tcPr>
            <w:tcW w:w="1911" w:type="dxa"/>
            <w:vAlign w:val="center"/>
          </w:tcPr>
          <w:p>
            <w:pPr>
              <w:adjustRightInd w:val="0"/>
              <w:snapToGrid w:val="0"/>
              <w:jc w:val="center"/>
              <w:rPr>
                <w:sz w:val="24"/>
              </w:rPr>
            </w:pPr>
            <w:r>
              <w:rPr>
                <w:sz w:val="24"/>
              </w:rPr>
              <w:t>联系方式</w:t>
            </w:r>
          </w:p>
        </w:tc>
        <w:tc>
          <w:tcPr>
            <w:tcW w:w="2918" w:type="dxa"/>
            <w:gridSpan w:val="3"/>
            <w:vAlign w:val="center"/>
          </w:tcPr>
          <w:p>
            <w:pPr>
              <w:adjustRightInd w:val="0"/>
              <w:snapToGrid w:val="0"/>
              <w:jc w:val="center"/>
              <w:rPr>
                <w:sz w:val="24"/>
              </w:rPr>
            </w:pPr>
            <w:r>
              <w:rPr>
                <w:sz w:val="24"/>
              </w:rPr>
              <w:t>15894372193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691" w:type="dxa"/>
            <w:gridSpan w:val="2"/>
            <w:tcMar>
              <w:top w:w="16" w:type="dxa"/>
              <w:left w:w="16" w:type="dxa"/>
              <w:right w:w="16" w:type="dxa"/>
            </w:tcMar>
            <w:vAlign w:val="center"/>
          </w:tcPr>
          <w:p>
            <w:pPr>
              <w:adjustRightInd w:val="0"/>
              <w:snapToGrid w:val="0"/>
              <w:jc w:val="center"/>
              <w:rPr>
                <w:sz w:val="24"/>
              </w:rPr>
            </w:pPr>
            <w:r>
              <w:rPr>
                <w:sz w:val="24"/>
              </w:rPr>
              <w:t>建设地点</w:t>
            </w:r>
          </w:p>
        </w:tc>
        <w:tc>
          <w:tcPr>
            <w:tcW w:w="7133" w:type="dxa"/>
            <w:gridSpan w:val="5"/>
            <w:vAlign w:val="center"/>
          </w:tcPr>
          <w:p>
            <w:pPr>
              <w:adjustRightInd w:val="0"/>
              <w:snapToGrid w:val="0"/>
              <w:jc w:val="center"/>
              <w:rPr>
                <w:sz w:val="24"/>
              </w:rPr>
            </w:pPr>
            <w:r>
              <w:rPr>
                <w:rFonts w:hint="eastAsia"/>
                <w:sz w:val="24"/>
              </w:rPr>
              <w:t>维西傈僳族自治县白济汛乡下笼嘎组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691" w:type="dxa"/>
            <w:gridSpan w:val="2"/>
            <w:tcMar>
              <w:top w:w="16" w:type="dxa"/>
              <w:left w:w="16" w:type="dxa"/>
              <w:right w:w="16" w:type="dxa"/>
            </w:tcMar>
            <w:vAlign w:val="center"/>
          </w:tcPr>
          <w:p>
            <w:pPr>
              <w:adjustRightInd w:val="0"/>
              <w:snapToGrid w:val="0"/>
              <w:jc w:val="center"/>
              <w:rPr>
                <w:sz w:val="24"/>
              </w:rPr>
            </w:pPr>
            <w:r>
              <w:rPr>
                <w:sz w:val="24"/>
              </w:rPr>
              <w:t>地理坐标</w:t>
            </w:r>
          </w:p>
        </w:tc>
        <w:tc>
          <w:tcPr>
            <w:tcW w:w="7133" w:type="dxa"/>
            <w:gridSpan w:val="5"/>
            <w:vAlign w:val="center"/>
          </w:tcPr>
          <w:p>
            <w:pPr>
              <w:jc w:val="center"/>
              <w:rPr>
                <w:sz w:val="24"/>
              </w:rPr>
            </w:pPr>
            <w:r>
              <w:rPr>
                <w:sz w:val="24"/>
              </w:rPr>
              <w:t>（东经：</w:t>
            </w:r>
            <w:r>
              <w:rPr>
                <w:rFonts w:hint="eastAsia"/>
                <w:sz w:val="24"/>
                <w:u w:val="single"/>
              </w:rPr>
              <w:t>9</w:t>
            </w:r>
            <w:r>
              <w:rPr>
                <w:sz w:val="24"/>
                <w:u w:val="single"/>
              </w:rPr>
              <w:t>9</w:t>
            </w:r>
            <w:r>
              <w:rPr>
                <w:sz w:val="24"/>
              </w:rPr>
              <w:t>度</w:t>
            </w:r>
            <w:r>
              <w:rPr>
                <w:rFonts w:hint="eastAsia"/>
                <w:sz w:val="24"/>
                <w:u w:val="single"/>
              </w:rPr>
              <w:t>5</w:t>
            </w:r>
            <w:r>
              <w:rPr>
                <w:sz w:val="24"/>
              </w:rPr>
              <w:t>分</w:t>
            </w:r>
            <w:r>
              <w:rPr>
                <w:sz w:val="24"/>
                <w:u w:val="single"/>
              </w:rPr>
              <w:t>7.2457</w:t>
            </w:r>
            <w:r>
              <w:rPr>
                <w:sz w:val="24"/>
              </w:rPr>
              <w:t>秒，北纬：</w:t>
            </w:r>
            <w:r>
              <w:rPr>
                <w:sz w:val="24"/>
                <w:u w:val="single"/>
              </w:rPr>
              <w:t>27</w:t>
            </w:r>
            <w:r>
              <w:rPr>
                <w:sz w:val="24"/>
              </w:rPr>
              <w:t>度</w:t>
            </w:r>
            <w:r>
              <w:rPr>
                <w:sz w:val="24"/>
                <w:u w:val="single"/>
              </w:rPr>
              <w:t>21</w:t>
            </w:r>
            <w:r>
              <w:rPr>
                <w:sz w:val="24"/>
              </w:rPr>
              <w:t>分</w:t>
            </w:r>
            <w:r>
              <w:rPr>
                <w:sz w:val="24"/>
                <w:u w:val="single"/>
              </w:rPr>
              <w:t>13.755</w:t>
            </w:r>
            <w:r>
              <w:rPr>
                <w:sz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691" w:type="dxa"/>
            <w:gridSpan w:val="2"/>
            <w:tcMar>
              <w:top w:w="16" w:type="dxa"/>
              <w:left w:w="16" w:type="dxa"/>
              <w:right w:w="16" w:type="dxa"/>
            </w:tcMar>
            <w:vAlign w:val="center"/>
          </w:tcPr>
          <w:p>
            <w:pPr>
              <w:adjustRightInd w:val="0"/>
              <w:snapToGrid w:val="0"/>
              <w:jc w:val="center"/>
              <w:rPr>
                <w:sz w:val="24"/>
              </w:rPr>
            </w:pPr>
            <w:r>
              <w:rPr>
                <w:sz w:val="24"/>
              </w:rPr>
              <w:t>国民经济</w:t>
            </w:r>
          </w:p>
          <w:p>
            <w:pPr>
              <w:adjustRightInd w:val="0"/>
              <w:snapToGrid w:val="0"/>
              <w:jc w:val="center"/>
              <w:rPr>
                <w:sz w:val="24"/>
              </w:rPr>
            </w:pPr>
            <w:r>
              <w:rPr>
                <w:sz w:val="24"/>
              </w:rPr>
              <w:t>行业类别</w:t>
            </w:r>
          </w:p>
        </w:tc>
        <w:tc>
          <w:tcPr>
            <w:tcW w:w="2304" w:type="dxa"/>
            <w:vAlign w:val="center"/>
          </w:tcPr>
          <w:p>
            <w:pPr>
              <w:adjustRightInd w:val="0"/>
              <w:snapToGrid w:val="0"/>
              <w:jc w:val="center"/>
              <w:rPr>
                <w:sz w:val="24"/>
              </w:rPr>
            </w:pPr>
            <w:r>
              <w:rPr>
                <w:rFonts w:hint="eastAsia"/>
                <w:sz w:val="24"/>
              </w:rPr>
              <w:t>C3099 其它非金属矿物制品制造</w:t>
            </w:r>
          </w:p>
        </w:tc>
        <w:tc>
          <w:tcPr>
            <w:tcW w:w="1911" w:type="dxa"/>
            <w:vAlign w:val="center"/>
          </w:tcPr>
          <w:p>
            <w:pPr>
              <w:adjustRightInd w:val="0"/>
              <w:snapToGrid w:val="0"/>
              <w:jc w:val="center"/>
              <w:rPr>
                <w:sz w:val="24"/>
              </w:rPr>
            </w:pPr>
            <w:bookmarkStart w:id="10" w:name="_Hlk49843745"/>
            <w:r>
              <w:rPr>
                <w:sz w:val="24"/>
              </w:rPr>
              <w:t>建设项目</w:t>
            </w:r>
          </w:p>
          <w:p>
            <w:pPr>
              <w:adjustRightInd w:val="0"/>
              <w:snapToGrid w:val="0"/>
              <w:jc w:val="center"/>
              <w:rPr>
                <w:sz w:val="24"/>
              </w:rPr>
            </w:pPr>
            <w:r>
              <w:rPr>
                <w:sz w:val="24"/>
              </w:rPr>
              <w:t>行业类别</w:t>
            </w:r>
            <w:bookmarkEnd w:id="10"/>
          </w:p>
        </w:tc>
        <w:tc>
          <w:tcPr>
            <w:tcW w:w="2918" w:type="dxa"/>
            <w:gridSpan w:val="3"/>
            <w:vAlign w:val="center"/>
          </w:tcPr>
          <w:p>
            <w:pPr>
              <w:adjustRightInd w:val="0"/>
              <w:snapToGrid w:val="0"/>
              <w:rPr>
                <w:sz w:val="24"/>
              </w:rPr>
            </w:pPr>
            <w:r>
              <w:rPr>
                <w:rFonts w:hint="eastAsia"/>
                <w:sz w:val="24"/>
              </w:rPr>
              <w:t>二十七、非金属矿物制品业，303 砖瓦、石材等建筑材料制造，其他建筑材料制造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691" w:type="dxa"/>
            <w:gridSpan w:val="2"/>
            <w:tcMar>
              <w:top w:w="16" w:type="dxa"/>
              <w:left w:w="16" w:type="dxa"/>
              <w:right w:w="16" w:type="dxa"/>
            </w:tcMar>
            <w:vAlign w:val="center"/>
          </w:tcPr>
          <w:p>
            <w:pPr>
              <w:adjustRightInd w:val="0"/>
              <w:snapToGrid w:val="0"/>
              <w:jc w:val="center"/>
              <w:rPr>
                <w:sz w:val="24"/>
              </w:rPr>
            </w:pPr>
            <w:r>
              <w:rPr>
                <w:sz w:val="24"/>
              </w:rPr>
              <w:t>建设性质</w:t>
            </w:r>
          </w:p>
        </w:tc>
        <w:tc>
          <w:tcPr>
            <w:tcW w:w="2304" w:type="dxa"/>
            <w:vAlign w:val="center"/>
          </w:tcPr>
          <w:p>
            <w:pPr>
              <w:jc w:val="left"/>
              <w:rPr>
                <w:sz w:val="24"/>
              </w:rPr>
            </w:pPr>
            <w:r>
              <w:rPr>
                <w:sz w:val="24"/>
              </w:rPr>
              <w:sym w:font="Wingdings 2" w:char="0052"/>
            </w:r>
            <w:r>
              <w:rPr>
                <w:sz w:val="24"/>
              </w:rPr>
              <w:t xml:space="preserve"> 新建（迁建）</w:t>
            </w:r>
          </w:p>
          <w:p>
            <w:pPr>
              <w:jc w:val="left"/>
              <w:rPr>
                <w:sz w:val="24"/>
              </w:rPr>
            </w:pPr>
            <w:r>
              <w:rPr>
                <w:sz w:val="24"/>
              </w:rPr>
              <w:sym w:font="Wingdings 2" w:char="00A3"/>
            </w:r>
            <w:r>
              <w:rPr>
                <w:sz w:val="24"/>
              </w:rPr>
              <w:t xml:space="preserve"> 改建</w:t>
            </w:r>
          </w:p>
          <w:p>
            <w:pPr>
              <w:jc w:val="left"/>
              <w:rPr>
                <w:sz w:val="24"/>
              </w:rPr>
            </w:pPr>
            <w:r>
              <w:rPr>
                <w:sz w:val="24"/>
              </w:rPr>
              <w:sym w:font="Wingdings 2" w:char="00A3"/>
            </w:r>
            <w:r>
              <w:rPr>
                <w:sz w:val="24"/>
              </w:rPr>
              <w:t xml:space="preserve"> 扩建</w:t>
            </w:r>
          </w:p>
          <w:p>
            <w:pPr>
              <w:jc w:val="left"/>
              <w:rPr>
                <w:sz w:val="24"/>
              </w:rPr>
            </w:pPr>
            <w:r>
              <w:rPr>
                <w:sz w:val="24"/>
              </w:rPr>
              <w:sym w:font="Wingdings 2" w:char="00A3"/>
            </w:r>
            <w:r>
              <w:rPr>
                <w:sz w:val="24"/>
              </w:rPr>
              <w:t xml:space="preserve"> 技术改造</w:t>
            </w:r>
          </w:p>
        </w:tc>
        <w:tc>
          <w:tcPr>
            <w:tcW w:w="1911" w:type="dxa"/>
            <w:vAlign w:val="center"/>
          </w:tcPr>
          <w:p>
            <w:pPr>
              <w:adjustRightInd w:val="0"/>
              <w:snapToGrid w:val="0"/>
              <w:jc w:val="center"/>
              <w:rPr>
                <w:sz w:val="24"/>
              </w:rPr>
            </w:pPr>
            <w:r>
              <w:rPr>
                <w:sz w:val="24"/>
              </w:rPr>
              <w:t>建设项目</w:t>
            </w:r>
          </w:p>
          <w:p>
            <w:pPr>
              <w:adjustRightInd w:val="0"/>
              <w:snapToGrid w:val="0"/>
              <w:jc w:val="center"/>
              <w:rPr>
                <w:sz w:val="24"/>
              </w:rPr>
            </w:pPr>
            <w:r>
              <w:rPr>
                <w:sz w:val="24"/>
              </w:rPr>
              <w:t>申报情形</w:t>
            </w:r>
          </w:p>
        </w:tc>
        <w:tc>
          <w:tcPr>
            <w:tcW w:w="2918" w:type="dxa"/>
            <w:gridSpan w:val="3"/>
            <w:vAlign w:val="center"/>
          </w:tcPr>
          <w:p>
            <w:pPr>
              <w:jc w:val="left"/>
              <w:rPr>
                <w:sz w:val="24"/>
              </w:rPr>
            </w:pPr>
            <w:r>
              <w:rPr>
                <w:sz w:val="24"/>
              </w:rPr>
              <w:sym w:font="Wingdings 2" w:char="0052"/>
            </w:r>
            <w:r>
              <w:rPr>
                <w:sz w:val="24"/>
              </w:rPr>
              <w:t>首次申报项目</w:t>
            </w:r>
          </w:p>
          <w:p>
            <w:pPr>
              <w:jc w:val="left"/>
              <w:rPr>
                <w:sz w:val="24"/>
              </w:rPr>
            </w:pPr>
            <w:r>
              <w:rPr>
                <w:sz w:val="24"/>
              </w:rPr>
              <w:sym w:font="Wingdings 2" w:char="00A3"/>
            </w:r>
            <w:r>
              <w:rPr>
                <w:sz w:val="24"/>
              </w:rPr>
              <w:t>不予批准后再次申报项目</w:t>
            </w:r>
          </w:p>
          <w:p>
            <w:pPr>
              <w:jc w:val="left"/>
              <w:rPr>
                <w:sz w:val="24"/>
              </w:rPr>
            </w:pPr>
            <w:r>
              <w:rPr>
                <w:sz w:val="24"/>
              </w:rPr>
              <w:sym w:font="Wingdings 2" w:char="00A3"/>
            </w:r>
            <w:r>
              <w:rPr>
                <w:sz w:val="24"/>
              </w:rPr>
              <w:t>超五年重新审核项目</w:t>
            </w:r>
          </w:p>
          <w:p>
            <w:pPr>
              <w:jc w:val="left"/>
              <w:rPr>
                <w:sz w:val="24"/>
              </w:rPr>
            </w:pPr>
            <w:r>
              <w:rPr>
                <w:sz w:val="24"/>
              </w:rPr>
              <w:sym w:font="Wingdings 2" w:char="00A3"/>
            </w:r>
            <w:r>
              <w:rPr>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691" w:type="dxa"/>
            <w:gridSpan w:val="2"/>
            <w:tcMar>
              <w:top w:w="16" w:type="dxa"/>
              <w:left w:w="16" w:type="dxa"/>
              <w:right w:w="16" w:type="dxa"/>
            </w:tcMar>
            <w:vAlign w:val="center"/>
          </w:tcPr>
          <w:p>
            <w:pPr>
              <w:adjustRightInd w:val="0"/>
              <w:snapToGrid w:val="0"/>
              <w:jc w:val="center"/>
              <w:rPr>
                <w:sz w:val="24"/>
              </w:rPr>
            </w:pPr>
            <w:r>
              <w:rPr>
                <w:sz w:val="24"/>
              </w:rPr>
              <w:t>项目审批（核准/备案）部门（选填）</w:t>
            </w:r>
          </w:p>
        </w:tc>
        <w:tc>
          <w:tcPr>
            <w:tcW w:w="2304" w:type="dxa"/>
            <w:vAlign w:val="center"/>
          </w:tcPr>
          <w:p>
            <w:pPr>
              <w:adjustRightInd w:val="0"/>
              <w:snapToGrid w:val="0"/>
              <w:jc w:val="center"/>
              <w:rPr>
                <w:sz w:val="24"/>
              </w:rPr>
            </w:pPr>
            <w:r>
              <w:rPr>
                <w:rFonts w:hint="eastAsia"/>
                <w:sz w:val="24"/>
              </w:rPr>
              <w:t>/</w:t>
            </w:r>
          </w:p>
        </w:tc>
        <w:tc>
          <w:tcPr>
            <w:tcW w:w="1911" w:type="dxa"/>
            <w:vAlign w:val="center"/>
          </w:tcPr>
          <w:p>
            <w:pPr>
              <w:adjustRightInd w:val="0"/>
              <w:snapToGrid w:val="0"/>
              <w:jc w:val="center"/>
              <w:rPr>
                <w:sz w:val="24"/>
              </w:rPr>
            </w:pPr>
            <w:r>
              <w:rPr>
                <w:sz w:val="24"/>
              </w:rPr>
              <w:t>项目审批（核准/</w:t>
            </w:r>
          </w:p>
          <w:p>
            <w:pPr>
              <w:adjustRightInd w:val="0"/>
              <w:snapToGrid w:val="0"/>
              <w:jc w:val="center"/>
              <w:rPr>
                <w:sz w:val="24"/>
              </w:rPr>
            </w:pPr>
            <w:r>
              <w:rPr>
                <w:sz w:val="24"/>
              </w:rPr>
              <w:t>备案）文号（选填）</w:t>
            </w:r>
          </w:p>
        </w:tc>
        <w:tc>
          <w:tcPr>
            <w:tcW w:w="2918" w:type="dxa"/>
            <w:gridSpan w:val="3"/>
            <w:vAlign w:val="center"/>
          </w:tcPr>
          <w:p>
            <w:pPr>
              <w:adjustRightInd w:val="0"/>
              <w:snapToGrid w:val="0"/>
              <w:jc w:val="center"/>
              <w:rPr>
                <w:sz w:val="24"/>
              </w:rPr>
            </w:pPr>
            <w:r>
              <w:rPr>
                <w:rFonts w:hint="eastAsia"/>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691" w:type="dxa"/>
            <w:gridSpan w:val="2"/>
            <w:tcMar>
              <w:top w:w="16" w:type="dxa"/>
              <w:left w:w="16" w:type="dxa"/>
              <w:right w:w="16" w:type="dxa"/>
            </w:tcMar>
            <w:vAlign w:val="center"/>
          </w:tcPr>
          <w:p>
            <w:pPr>
              <w:adjustRightInd w:val="0"/>
              <w:snapToGrid w:val="0"/>
              <w:jc w:val="center"/>
              <w:rPr>
                <w:sz w:val="24"/>
              </w:rPr>
            </w:pPr>
            <w:r>
              <w:rPr>
                <w:sz w:val="24"/>
              </w:rPr>
              <w:t>总投资（万元）</w:t>
            </w:r>
          </w:p>
        </w:tc>
        <w:tc>
          <w:tcPr>
            <w:tcW w:w="2304" w:type="dxa"/>
            <w:shd w:val="clear" w:color="auto" w:fill="auto"/>
            <w:vAlign w:val="center"/>
          </w:tcPr>
          <w:p>
            <w:pPr>
              <w:adjustRightInd w:val="0"/>
              <w:snapToGrid w:val="0"/>
              <w:jc w:val="center"/>
              <w:rPr>
                <w:sz w:val="24"/>
              </w:rPr>
            </w:pPr>
            <w:r>
              <w:rPr>
                <w:sz w:val="24"/>
              </w:rPr>
              <w:t>700.0</w:t>
            </w:r>
          </w:p>
        </w:tc>
        <w:tc>
          <w:tcPr>
            <w:tcW w:w="1911" w:type="dxa"/>
            <w:shd w:val="clear" w:color="auto" w:fill="auto"/>
            <w:tcMar>
              <w:top w:w="16" w:type="dxa"/>
              <w:left w:w="16" w:type="dxa"/>
              <w:right w:w="16" w:type="dxa"/>
            </w:tcMar>
            <w:vAlign w:val="center"/>
          </w:tcPr>
          <w:p>
            <w:pPr>
              <w:adjustRightInd w:val="0"/>
              <w:snapToGrid w:val="0"/>
              <w:jc w:val="center"/>
              <w:rPr>
                <w:sz w:val="24"/>
              </w:rPr>
            </w:pPr>
            <w:r>
              <w:rPr>
                <w:sz w:val="24"/>
              </w:rPr>
              <w:t>环保投资（万元）</w:t>
            </w:r>
          </w:p>
        </w:tc>
        <w:tc>
          <w:tcPr>
            <w:tcW w:w="2918" w:type="dxa"/>
            <w:gridSpan w:val="3"/>
            <w:shd w:val="clear" w:color="auto" w:fill="auto"/>
            <w:vAlign w:val="center"/>
          </w:tcPr>
          <w:p>
            <w:pPr>
              <w:adjustRightInd w:val="0"/>
              <w:snapToGrid w:val="0"/>
              <w:jc w:val="center"/>
              <w:rPr>
                <w:sz w:val="24"/>
              </w:rPr>
            </w:pPr>
            <w:r>
              <w:rPr>
                <w:sz w:val="24"/>
              </w:rPr>
              <w:t>87.2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691" w:type="dxa"/>
            <w:gridSpan w:val="2"/>
            <w:tcMar>
              <w:top w:w="16" w:type="dxa"/>
              <w:left w:w="16" w:type="dxa"/>
              <w:right w:w="16" w:type="dxa"/>
            </w:tcMar>
            <w:vAlign w:val="center"/>
          </w:tcPr>
          <w:p>
            <w:pPr>
              <w:adjustRightInd w:val="0"/>
              <w:snapToGrid w:val="0"/>
              <w:jc w:val="center"/>
              <w:rPr>
                <w:sz w:val="24"/>
              </w:rPr>
            </w:pPr>
            <w:r>
              <w:rPr>
                <w:sz w:val="24"/>
              </w:rPr>
              <w:t>环保投资占比（%）</w:t>
            </w:r>
          </w:p>
        </w:tc>
        <w:tc>
          <w:tcPr>
            <w:tcW w:w="2304" w:type="dxa"/>
            <w:shd w:val="clear" w:color="auto" w:fill="auto"/>
            <w:vAlign w:val="center"/>
          </w:tcPr>
          <w:p>
            <w:pPr>
              <w:adjustRightInd w:val="0"/>
              <w:snapToGrid w:val="0"/>
              <w:jc w:val="center"/>
              <w:rPr>
                <w:color w:val="0000FF"/>
                <w:sz w:val="24"/>
              </w:rPr>
            </w:pPr>
            <w:r>
              <w:rPr>
                <w:color w:val="0000FF"/>
                <w:sz w:val="24"/>
              </w:rPr>
              <w:t>12.46</w:t>
            </w:r>
          </w:p>
        </w:tc>
        <w:tc>
          <w:tcPr>
            <w:tcW w:w="1911" w:type="dxa"/>
            <w:shd w:val="clear" w:color="auto" w:fill="auto"/>
            <w:tcMar>
              <w:top w:w="16" w:type="dxa"/>
              <w:left w:w="16" w:type="dxa"/>
              <w:right w:w="16" w:type="dxa"/>
            </w:tcMar>
            <w:vAlign w:val="center"/>
          </w:tcPr>
          <w:p>
            <w:pPr>
              <w:adjustRightInd w:val="0"/>
              <w:snapToGrid w:val="0"/>
              <w:jc w:val="center"/>
              <w:rPr>
                <w:color w:val="0000FF"/>
                <w:sz w:val="24"/>
              </w:rPr>
            </w:pPr>
            <w:r>
              <w:rPr>
                <w:color w:val="0000FF"/>
                <w:sz w:val="24"/>
              </w:rPr>
              <w:t>施工工期</w:t>
            </w:r>
          </w:p>
        </w:tc>
        <w:tc>
          <w:tcPr>
            <w:tcW w:w="2918" w:type="dxa"/>
            <w:gridSpan w:val="3"/>
            <w:shd w:val="clear" w:color="auto" w:fill="auto"/>
            <w:vAlign w:val="center"/>
          </w:tcPr>
          <w:p>
            <w:pPr>
              <w:adjustRightInd w:val="0"/>
              <w:snapToGrid w:val="0"/>
              <w:jc w:val="center"/>
              <w:rPr>
                <w:color w:val="0000FF"/>
                <w:sz w:val="24"/>
              </w:rPr>
            </w:pPr>
            <w:r>
              <w:rPr>
                <w:color w:val="0000FF"/>
                <w:sz w:val="24"/>
              </w:rPr>
              <w:t>3</w:t>
            </w:r>
            <w:r>
              <w:rPr>
                <w:rFonts w:hint="eastAsia"/>
                <w:color w:val="0000FF"/>
                <w:sz w:val="24"/>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691" w:type="dxa"/>
            <w:gridSpan w:val="2"/>
            <w:tcMar>
              <w:top w:w="16" w:type="dxa"/>
              <w:left w:w="16" w:type="dxa"/>
              <w:right w:w="16" w:type="dxa"/>
            </w:tcMar>
            <w:vAlign w:val="center"/>
          </w:tcPr>
          <w:p>
            <w:pPr>
              <w:adjustRightInd w:val="0"/>
              <w:snapToGrid w:val="0"/>
              <w:jc w:val="center"/>
              <w:rPr>
                <w:sz w:val="24"/>
              </w:rPr>
            </w:pPr>
            <w:r>
              <w:rPr>
                <w:sz w:val="24"/>
              </w:rPr>
              <w:t>是否开工建设</w:t>
            </w:r>
          </w:p>
        </w:tc>
        <w:tc>
          <w:tcPr>
            <w:tcW w:w="4863" w:type="dxa"/>
            <w:gridSpan w:val="3"/>
            <w:tcMar>
              <w:top w:w="16" w:type="dxa"/>
              <w:left w:w="16" w:type="dxa"/>
              <w:right w:w="16" w:type="dxa"/>
            </w:tcMar>
            <w:vAlign w:val="center"/>
          </w:tcPr>
          <w:p>
            <w:pPr>
              <w:adjustRightInd w:val="0"/>
              <w:snapToGrid w:val="0"/>
              <w:rPr>
                <w:color w:val="0000FF"/>
                <w:sz w:val="24"/>
              </w:rPr>
            </w:pPr>
            <w:r>
              <w:rPr>
                <w:color w:val="0000FF"/>
                <w:sz w:val="24"/>
              </w:rPr>
              <w:sym w:font="Wingdings 2" w:char="00A3"/>
            </w:r>
            <w:r>
              <w:rPr>
                <w:color w:val="0000FF"/>
                <w:sz w:val="24"/>
              </w:rPr>
              <w:t xml:space="preserve"> 否</w:t>
            </w:r>
          </w:p>
          <w:p>
            <w:pPr>
              <w:adjustRightInd w:val="0"/>
              <w:snapToGrid w:val="0"/>
              <w:rPr>
                <w:color w:val="0000FF"/>
                <w:sz w:val="24"/>
              </w:rPr>
            </w:pPr>
            <w:r>
              <w:rPr>
                <w:color w:val="0000FF"/>
                <w:sz w:val="24"/>
              </w:rPr>
              <w:sym w:font="Wingdings 2" w:char="0052"/>
            </w:r>
            <w:r>
              <w:rPr>
                <w:color w:val="0000FF"/>
                <w:sz w:val="24"/>
              </w:rPr>
              <w:t xml:space="preserve"> 是</w:t>
            </w:r>
            <w:r>
              <w:rPr>
                <w:rFonts w:hint="eastAsia"/>
                <w:color w:val="0000FF"/>
                <w:sz w:val="24"/>
              </w:rPr>
              <w:t>：</w:t>
            </w:r>
          </w:p>
          <w:p>
            <w:pPr>
              <w:ind w:firstLine="420" w:firstLineChars="200"/>
              <w:rPr>
                <w:color w:val="0000FF"/>
                <w:szCs w:val="21"/>
              </w:rPr>
            </w:pPr>
            <w:r>
              <w:rPr>
                <w:rFonts w:hint="eastAsia"/>
                <w:color w:val="0000FF"/>
                <w:szCs w:val="21"/>
              </w:rPr>
              <w:t>维西旭雄建筑材料销售有限公司“年产2</w:t>
            </w:r>
            <w:r>
              <w:rPr>
                <w:color w:val="0000FF"/>
                <w:szCs w:val="21"/>
              </w:rPr>
              <w:t>.4</w:t>
            </w:r>
            <w:r>
              <w:rPr>
                <w:rFonts w:hint="eastAsia"/>
                <w:color w:val="0000FF"/>
                <w:szCs w:val="21"/>
              </w:rPr>
              <w:t>万吨机制砂生产线建设项目”在未取得环境影响评价行政许可前既开工建设，目前已建成水洗砂生产线1条;安装破碎机、振动筛、制砂机、洗砂机、传送带等生产设备。为此，2</w:t>
            </w:r>
            <w:r>
              <w:rPr>
                <w:color w:val="0000FF"/>
                <w:szCs w:val="21"/>
              </w:rPr>
              <w:t>023</w:t>
            </w:r>
            <w:r>
              <w:rPr>
                <w:rFonts w:hint="eastAsia"/>
                <w:color w:val="0000FF"/>
                <w:szCs w:val="21"/>
              </w:rPr>
              <w:t>年1</w:t>
            </w:r>
            <w:r>
              <w:rPr>
                <w:color w:val="0000FF"/>
                <w:szCs w:val="21"/>
              </w:rPr>
              <w:t>0</w:t>
            </w:r>
            <w:r>
              <w:rPr>
                <w:rFonts w:hint="eastAsia"/>
                <w:color w:val="0000FF"/>
                <w:szCs w:val="21"/>
              </w:rPr>
              <w:t>月</w:t>
            </w:r>
            <w:r>
              <w:rPr>
                <w:color w:val="0000FF"/>
                <w:szCs w:val="21"/>
              </w:rPr>
              <w:t>24</w:t>
            </w:r>
            <w:r>
              <w:rPr>
                <w:rFonts w:hint="eastAsia"/>
                <w:color w:val="0000FF"/>
                <w:szCs w:val="21"/>
              </w:rPr>
              <w:t>日，迪庆藏族自治州生态环境局维西分局向维西旭雄建筑材料销售有限公司下发约谈通知。2</w:t>
            </w:r>
            <w:r>
              <w:rPr>
                <w:color w:val="0000FF"/>
                <w:szCs w:val="21"/>
              </w:rPr>
              <w:t>023</w:t>
            </w:r>
            <w:r>
              <w:rPr>
                <w:rFonts w:hint="eastAsia"/>
                <w:color w:val="0000FF"/>
                <w:szCs w:val="21"/>
              </w:rPr>
              <w:t>年1</w:t>
            </w:r>
            <w:r>
              <w:rPr>
                <w:color w:val="0000FF"/>
                <w:szCs w:val="21"/>
              </w:rPr>
              <w:t>0</w:t>
            </w:r>
            <w:r>
              <w:rPr>
                <w:rFonts w:hint="eastAsia"/>
                <w:color w:val="0000FF"/>
                <w:szCs w:val="21"/>
              </w:rPr>
              <w:t>月2</w:t>
            </w:r>
            <w:r>
              <w:rPr>
                <w:color w:val="0000FF"/>
                <w:szCs w:val="21"/>
              </w:rPr>
              <w:t>5</w:t>
            </w:r>
            <w:r>
              <w:rPr>
                <w:rFonts w:hint="eastAsia"/>
                <w:color w:val="0000FF"/>
                <w:szCs w:val="21"/>
              </w:rPr>
              <w:t>日，迪庆藏族自治州生态环境局维西分局、维西旭雄建筑材料销售有限参加约谈会议，会议要求：一是严格按照《中华人民共和国环境影响评价法》和《建设项目环境保护管理条例》相关法律规定，加快办理相关环境影响评价手续，并落实建设项目大气、水、固废污染防治措施，在未取得环境影响评价行政许可及配套建设污染防治措施前，不得开工建设和投入生产；二是被约谈企业一定要认识到当前生态环境保护中存在问题的紧迫性、严重性，要深刻认识生态环境问.题整改工作的紧迫性和重要性，切实增强做好生态环境问题整改的主动性和责任感，主动承担起环境治理主体责任和社会责任。加强企业管理，领导干部和员工的宣传教育培训，认真学习习近平生态文明思想及环境保护相关法律法规，严格按照要求开展企业环境管理工作；三是针对通报的问题，被约谈企业要强化责任意识，高度负责，查摆问题根源，拿出行动，紧盯反馈问题，真抓实干，分类列出问题清单，制定整改方案，按照整改方案确定的措施、时间节点推进问题的整改，杜绝“表面整改”、“虚假整改”、“敷衍整改”；四是要狠抓工作落实，细化整改措施，举一反三，全面梳理排查本企业其他项目的环境风险隐患，深刻吸取教训，认真反思,对企业存在的环境问题和风险隐患进行地毯式、拉网式排查，细化整改措施，全面进行整改，杜绝同类问题在本企业及其他项目再次发生（约谈通知及约谈记录详见</w:t>
            </w:r>
            <w:r>
              <w:rPr>
                <w:rFonts w:hint="eastAsia"/>
                <w:b/>
                <w:color w:val="0000FF"/>
                <w:szCs w:val="21"/>
                <w:u w:val="single"/>
              </w:rPr>
              <w:t>附件3</w:t>
            </w:r>
            <w:r>
              <w:rPr>
                <w:rFonts w:hint="eastAsia"/>
                <w:color w:val="0000FF"/>
                <w:szCs w:val="21"/>
              </w:rPr>
              <w:t>）。</w:t>
            </w:r>
          </w:p>
        </w:tc>
        <w:tc>
          <w:tcPr>
            <w:tcW w:w="1181" w:type="dxa"/>
            <w:vAlign w:val="center"/>
          </w:tcPr>
          <w:p>
            <w:pPr>
              <w:adjustRightInd w:val="0"/>
              <w:snapToGrid w:val="0"/>
              <w:jc w:val="center"/>
              <w:rPr>
                <w:sz w:val="24"/>
              </w:rPr>
            </w:pPr>
            <w:r>
              <w:rPr>
                <w:spacing w:val="-6"/>
                <w:sz w:val="24"/>
              </w:rPr>
              <w:t>用地面积（m</w:t>
            </w:r>
            <w:r>
              <w:rPr>
                <w:spacing w:val="-6"/>
                <w:sz w:val="24"/>
                <w:vertAlign w:val="superscript"/>
              </w:rPr>
              <w:t>2</w:t>
            </w:r>
            <w:r>
              <w:rPr>
                <w:spacing w:val="-6"/>
                <w:sz w:val="24"/>
              </w:rPr>
              <w:t>）</w:t>
            </w:r>
          </w:p>
        </w:tc>
        <w:tc>
          <w:tcPr>
            <w:tcW w:w="1089" w:type="dxa"/>
            <w:vAlign w:val="center"/>
          </w:tcPr>
          <w:p>
            <w:pPr>
              <w:adjustRightInd w:val="0"/>
              <w:snapToGrid w:val="0"/>
              <w:jc w:val="center"/>
              <w:rPr>
                <w:sz w:val="24"/>
              </w:rPr>
            </w:pPr>
            <w:r>
              <w:rPr>
                <w:szCs w:val="21"/>
              </w:rPr>
              <w:t>836.1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91" w:type="dxa"/>
            <w:gridSpan w:val="2"/>
            <w:vAlign w:val="center"/>
          </w:tcPr>
          <w:p>
            <w:pPr>
              <w:autoSpaceDE w:val="0"/>
              <w:autoSpaceDN w:val="0"/>
              <w:adjustRightInd w:val="0"/>
              <w:snapToGrid w:val="0"/>
              <w:jc w:val="center"/>
              <w:rPr>
                <w:kern w:val="0"/>
                <w:sz w:val="24"/>
              </w:rPr>
            </w:pPr>
            <w:r>
              <w:rPr>
                <w:kern w:val="0"/>
                <w:sz w:val="24"/>
              </w:rPr>
              <w:t>专项评价</w:t>
            </w:r>
          </w:p>
          <w:p>
            <w:pPr>
              <w:autoSpaceDE w:val="0"/>
              <w:autoSpaceDN w:val="0"/>
              <w:adjustRightInd w:val="0"/>
              <w:snapToGrid w:val="0"/>
              <w:jc w:val="center"/>
              <w:rPr>
                <w:kern w:val="0"/>
                <w:sz w:val="24"/>
              </w:rPr>
            </w:pPr>
            <w:r>
              <w:rPr>
                <w:kern w:val="0"/>
                <w:sz w:val="24"/>
              </w:rPr>
              <w:t>设置情况</w:t>
            </w:r>
          </w:p>
        </w:tc>
        <w:tc>
          <w:tcPr>
            <w:tcW w:w="7133" w:type="dxa"/>
            <w:gridSpan w:val="5"/>
            <w:vAlign w:val="center"/>
          </w:tcPr>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4"/>
              <w:gridCol w:w="2237"/>
              <w:gridCol w:w="3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1" w:type="dxa"/>
                  <w:vAlign w:val="center"/>
                </w:tcPr>
                <w:p>
                  <w:pPr>
                    <w:autoSpaceDE w:val="0"/>
                    <w:autoSpaceDN w:val="0"/>
                    <w:adjustRightInd w:val="0"/>
                    <w:snapToGrid w:val="0"/>
                    <w:jc w:val="center"/>
                    <w:rPr>
                      <w:b/>
                      <w:bCs/>
                      <w:kern w:val="0"/>
                      <w:szCs w:val="21"/>
                    </w:rPr>
                  </w:pPr>
                  <w:r>
                    <w:rPr>
                      <w:rFonts w:hint="eastAsia"/>
                      <w:b/>
                      <w:bCs/>
                      <w:kern w:val="0"/>
                      <w:szCs w:val="21"/>
                    </w:rPr>
                    <w:t>专项评价类别</w:t>
                  </w:r>
                </w:p>
              </w:tc>
              <w:tc>
                <w:tcPr>
                  <w:tcW w:w="2268" w:type="dxa"/>
                  <w:vAlign w:val="center"/>
                </w:tcPr>
                <w:p>
                  <w:pPr>
                    <w:autoSpaceDE w:val="0"/>
                    <w:autoSpaceDN w:val="0"/>
                    <w:adjustRightInd w:val="0"/>
                    <w:snapToGrid w:val="0"/>
                    <w:jc w:val="center"/>
                    <w:rPr>
                      <w:b/>
                      <w:bCs/>
                      <w:kern w:val="0"/>
                      <w:szCs w:val="21"/>
                    </w:rPr>
                  </w:pPr>
                  <w:r>
                    <w:rPr>
                      <w:rFonts w:hint="eastAsia"/>
                      <w:b/>
                      <w:bCs/>
                      <w:kern w:val="0"/>
                      <w:szCs w:val="21"/>
                    </w:rPr>
                    <w:t>设置原则</w:t>
                  </w:r>
                </w:p>
              </w:tc>
              <w:tc>
                <w:tcPr>
                  <w:tcW w:w="3497" w:type="dxa"/>
                  <w:vAlign w:val="center"/>
                </w:tcPr>
                <w:p>
                  <w:pPr>
                    <w:autoSpaceDE w:val="0"/>
                    <w:autoSpaceDN w:val="0"/>
                    <w:adjustRightInd w:val="0"/>
                    <w:snapToGrid w:val="0"/>
                    <w:jc w:val="center"/>
                    <w:rPr>
                      <w:b/>
                      <w:bCs/>
                      <w:kern w:val="0"/>
                      <w:szCs w:val="21"/>
                    </w:rPr>
                  </w:pPr>
                  <w:r>
                    <w:rPr>
                      <w:rFonts w:hint="eastAsia"/>
                      <w:b/>
                      <w:bCs/>
                      <w:kern w:val="0"/>
                      <w:szCs w:val="21"/>
                    </w:rPr>
                    <w:t>本项目设置情况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1" w:type="dxa"/>
                  <w:vAlign w:val="center"/>
                </w:tcPr>
                <w:p>
                  <w:pPr>
                    <w:autoSpaceDE w:val="0"/>
                    <w:autoSpaceDN w:val="0"/>
                    <w:adjustRightInd w:val="0"/>
                    <w:snapToGrid w:val="0"/>
                    <w:jc w:val="center"/>
                    <w:rPr>
                      <w:kern w:val="0"/>
                      <w:szCs w:val="21"/>
                    </w:rPr>
                  </w:pPr>
                  <w:r>
                    <w:rPr>
                      <w:rFonts w:hint="eastAsia"/>
                      <w:kern w:val="0"/>
                      <w:szCs w:val="21"/>
                    </w:rPr>
                    <w:t>大气</w:t>
                  </w:r>
                </w:p>
              </w:tc>
              <w:tc>
                <w:tcPr>
                  <w:tcW w:w="2268" w:type="dxa"/>
                  <w:vAlign w:val="center"/>
                </w:tcPr>
                <w:p>
                  <w:pPr>
                    <w:autoSpaceDE w:val="0"/>
                    <w:autoSpaceDN w:val="0"/>
                    <w:adjustRightInd w:val="0"/>
                    <w:snapToGrid w:val="0"/>
                    <w:rPr>
                      <w:kern w:val="0"/>
                      <w:szCs w:val="21"/>
                    </w:rPr>
                  </w:pPr>
                  <w:r>
                    <w:rPr>
                      <w:kern w:val="0"/>
                      <w:szCs w:val="21"/>
                    </w:rPr>
                    <w:t>排放废气含有毒有害污染物</w:t>
                  </w:r>
                  <w:r>
                    <w:rPr>
                      <w:rFonts w:hint="eastAsia"/>
                      <w:kern w:val="0"/>
                      <w:szCs w:val="21"/>
                      <w:vertAlign w:val="superscript"/>
                    </w:rPr>
                    <w:t>1</w:t>
                  </w:r>
                  <w:r>
                    <w:rPr>
                      <w:kern w:val="0"/>
                      <w:szCs w:val="21"/>
                    </w:rPr>
                    <w:t>、二嗯英、苯并[a]芘、氰化物、氯气且厂界外500米范围内有环境空气保护目标</w:t>
                  </w:r>
                  <w:r>
                    <w:rPr>
                      <w:rFonts w:hint="eastAsia"/>
                      <w:kern w:val="0"/>
                      <w:szCs w:val="21"/>
                      <w:vertAlign w:val="superscript"/>
                    </w:rPr>
                    <w:t>2</w:t>
                  </w:r>
                  <w:r>
                    <w:rPr>
                      <w:kern w:val="0"/>
                      <w:szCs w:val="21"/>
                    </w:rPr>
                    <w:t>的建设项目</w:t>
                  </w:r>
                  <w:r>
                    <w:rPr>
                      <w:rFonts w:hint="eastAsia"/>
                      <w:kern w:val="0"/>
                      <w:szCs w:val="21"/>
                    </w:rPr>
                    <w:t>。</w:t>
                  </w:r>
                </w:p>
              </w:tc>
              <w:tc>
                <w:tcPr>
                  <w:tcW w:w="3497" w:type="dxa"/>
                  <w:vAlign w:val="center"/>
                </w:tcPr>
                <w:p>
                  <w:pPr>
                    <w:autoSpaceDE w:val="0"/>
                    <w:autoSpaceDN w:val="0"/>
                    <w:adjustRightInd w:val="0"/>
                    <w:snapToGrid w:val="0"/>
                    <w:rPr>
                      <w:kern w:val="0"/>
                      <w:szCs w:val="21"/>
                    </w:rPr>
                  </w:pPr>
                  <w:r>
                    <w:rPr>
                      <w:rFonts w:hint="eastAsia"/>
                      <w:b/>
                      <w:bCs/>
                      <w:kern w:val="0"/>
                      <w:szCs w:val="21"/>
                      <w:u w:val="single"/>
                    </w:rPr>
                    <w:t>不设置，</w:t>
                  </w:r>
                  <w:r>
                    <w:rPr>
                      <w:rFonts w:hint="eastAsia"/>
                      <w:bCs/>
                      <w:kern w:val="0"/>
                      <w:szCs w:val="21"/>
                    </w:rPr>
                    <w:t>项目运营期产生及排放的大气污染物主要为TSP，其不属于</w:t>
                  </w:r>
                  <w:r>
                    <w:rPr>
                      <w:kern w:val="0"/>
                      <w:szCs w:val="21"/>
                    </w:rPr>
                    <w:t>《有毒有害大气污染物名录》</w:t>
                  </w:r>
                  <w:r>
                    <w:rPr>
                      <w:rFonts w:hint="eastAsia"/>
                      <w:kern w:val="0"/>
                      <w:szCs w:val="21"/>
                    </w:rPr>
                    <w:t>中包括的有毒有害大气污染物。故本项目不设置大气专项评价。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1" w:type="dxa"/>
                  <w:vAlign w:val="center"/>
                </w:tcPr>
                <w:p>
                  <w:pPr>
                    <w:autoSpaceDE w:val="0"/>
                    <w:autoSpaceDN w:val="0"/>
                    <w:adjustRightInd w:val="0"/>
                    <w:snapToGrid w:val="0"/>
                    <w:jc w:val="center"/>
                    <w:rPr>
                      <w:kern w:val="0"/>
                      <w:szCs w:val="21"/>
                    </w:rPr>
                  </w:pPr>
                  <w:r>
                    <w:rPr>
                      <w:rFonts w:hint="eastAsia"/>
                      <w:kern w:val="0"/>
                      <w:szCs w:val="21"/>
                    </w:rPr>
                    <w:t>地表水</w:t>
                  </w:r>
                </w:p>
              </w:tc>
              <w:tc>
                <w:tcPr>
                  <w:tcW w:w="2268" w:type="dxa"/>
                  <w:vAlign w:val="center"/>
                </w:tcPr>
                <w:p>
                  <w:pPr>
                    <w:autoSpaceDE w:val="0"/>
                    <w:autoSpaceDN w:val="0"/>
                    <w:adjustRightInd w:val="0"/>
                    <w:snapToGrid w:val="0"/>
                    <w:rPr>
                      <w:kern w:val="0"/>
                      <w:szCs w:val="21"/>
                    </w:rPr>
                  </w:pPr>
                  <w:r>
                    <w:rPr>
                      <w:kern w:val="0"/>
                      <w:szCs w:val="21"/>
                    </w:rPr>
                    <w:t>新增工业废水直排建设项目（槽罐车外送污水处理厂的除外）﹔新增废水直排的污水集中处理厂</w:t>
                  </w:r>
                  <w:r>
                    <w:rPr>
                      <w:rFonts w:hint="eastAsia"/>
                      <w:kern w:val="0"/>
                      <w:szCs w:val="21"/>
                    </w:rPr>
                    <w:t>。</w:t>
                  </w:r>
                </w:p>
              </w:tc>
              <w:tc>
                <w:tcPr>
                  <w:tcW w:w="3497" w:type="dxa"/>
                  <w:vAlign w:val="center"/>
                </w:tcPr>
                <w:p>
                  <w:pPr>
                    <w:autoSpaceDE w:val="0"/>
                    <w:autoSpaceDN w:val="0"/>
                    <w:adjustRightInd w:val="0"/>
                    <w:snapToGrid w:val="0"/>
                    <w:rPr>
                      <w:kern w:val="0"/>
                      <w:szCs w:val="21"/>
                    </w:rPr>
                  </w:pPr>
                  <w:r>
                    <w:rPr>
                      <w:rFonts w:hint="eastAsia"/>
                      <w:b/>
                      <w:bCs/>
                      <w:kern w:val="0"/>
                      <w:szCs w:val="21"/>
                      <w:u w:val="single"/>
                    </w:rPr>
                    <w:t>不设置，</w:t>
                  </w:r>
                  <w:r>
                    <w:rPr>
                      <w:rFonts w:hint="eastAsia"/>
                      <w:kern w:val="0"/>
                      <w:szCs w:val="21"/>
                    </w:rPr>
                    <w:t>项目运行期车辆轮胎冲洗废水、洗砂废水经收集沉淀处理后回用于水洗砂工段，不外排，故无需进行地表水专项评价。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1" w:type="dxa"/>
                  <w:vAlign w:val="center"/>
                </w:tcPr>
                <w:p>
                  <w:pPr>
                    <w:autoSpaceDE w:val="0"/>
                    <w:autoSpaceDN w:val="0"/>
                    <w:adjustRightInd w:val="0"/>
                    <w:snapToGrid w:val="0"/>
                    <w:jc w:val="center"/>
                    <w:rPr>
                      <w:kern w:val="0"/>
                      <w:szCs w:val="21"/>
                    </w:rPr>
                  </w:pPr>
                  <w:r>
                    <w:rPr>
                      <w:rFonts w:hint="eastAsia"/>
                      <w:kern w:val="0"/>
                      <w:szCs w:val="21"/>
                    </w:rPr>
                    <w:t>环境风险</w:t>
                  </w:r>
                </w:p>
              </w:tc>
              <w:tc>
                <w:tcPr>
                  <w:tcW w:w="2268" w:type="dxa"/>
                  <w:vAlign w:val="center"/>
                </w:tcPr>
                <w:p>
                  <w:pPr>
                    <w:autoSpaceDE w:val="0"/>
                    <w:autoSpaceDN w:val="0"/>
                    <w:adjustRightInd w:val="0"/>
                    <w:snapToGrid w:val="0"/>
                    <w:rPr>
                      <w:kern w:val="0"/>
                      <w:szCs w:val="21"/>
                    </w:rPr>
                  </w:pPr>
                  <w:r>
                    <w:rPr>
                      <w:kern w:val="0"/>
                      <w:szCs w:val="21"/>
                    </w:rPr>
                    <w:t>有毒有害和易燃易爆危险物质存储量超过临界量</w:t>
                  </w:r>
                  <w:r>
                    <w:rPr>
                      <w:rFonts w:hint="eastAsia"/>
                      <w:kern w:val="0"/>
                      <w:szCs w:val="21"/>
                      <w:vertAlign w:val="superscript"/>
                    </w:rPr>
                    <w:t>3</w:t>
                  </w:r>
                  <w:r>
                    <w:rPr>
                      <w:kern w:val="0"/>
                      <w:szCs w:val="21"/>
                    </w:rPr>
                    <w:t>的建设项目</w:t>
                  </w:r>
                </w:p>
              </w:tc>
              <w:tc>
                <w:tcPr>
                  <w:tcW w:w="3497" w:type="dxa"/>
                  <w:vAlign w:val="center"/>
                </w:tcPr>
                <w:p>
                  <w:pPr>
                    <w:autoSpaceDE w:val="0"/>
                    <w:autoSpaceDN w:val="0"/>
                    <w:adjustRightInd w:val="0"/>
                    <w:snapToGrid w:val="0"/>
                    <w:rPr>
                      <w:kern w:val="0"/>
                      <w:szCs w:val="21"/>
                    </w:rPr>
                  </w:pPr>
                  <w:r>
                    <w:rPr>
                      <w:rFonts w:hint="eastAsia"/>
                      <w:b/>
                      <w:bCs/>
                      <w:kern w:val="0"/>
                      <w:szCs w:val="21"/>
                      <w:u w:val="single"/>
                    </w:rPr>
                    <w:t>不设置，</w:t>
                  </w:r>
                  <w:r>
                    <w:rPr>
                      <w:rFonts w:hint="eastAsia"/>
                      <w:kern w:val="0"/>
                      <w:szCs w:val="21"/>
                    </w:rPr>
                    <w:t>根据《建设项目环境风险评价技术导则》（HJ 169-2018），本项目涉及环境风险物质为废机油等废矿物油，Q</w:t>
                  </w:r>
                  <w:r>
                    <w:rPr>
                      <w:kern w:val="0"/>
                      <w:szCs w:val="21"/>
                    </w:rPr>
                    <w:t>=0.00005</w:t>
                  </w:r>
                  <w:r>
                    <w:rPr>
                      <w:rFonts w:hint="eastAsia"/>
                      <w:kern w:val="0"/>
                      <w:szCs w:val="21"/>
                    </w:rPr>
                    <w:t>＜1，无需进行环境风险专项评价。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1" w:type="dxa"/>
                  <w:vAlign w:val="center"/>
                </w:tcPr>
                <w:p>
                  <w:pPr>
                    <w:autoSpaceDE w:val="0"/>
                    <w:autoSpaceDN w:val="0"/>
                    <w:adjustRightInd w:val="0"/>
                    <w:snapToGrid w:val="0"/>
                    <w:jc w:val="center"/>
                    <w:rPr>
                      <w:kern w:val="0"/>
                      <w:szCs w:val="21"/>
                    </w:rPr>
                  </w:pPr>
                  <w:r>
                    <w:rPr>
                      <w:rFonts w:hint="eastAsia"/>
                      <w:kern w:val="0"/>
                      <w:szCs w:val="21"/>
                    </w:rPr>
                    <w:t>生态</w:t>
                  </w:r>
                </w:p>
              </w:tc>
              <w:tc>
                <w:tcPr>
                  <w:tcW w:w="2268" w:type="dxa"/>
                  <w:vAlign w:val="center"/>
                </w:tcPr>
                <w:p>
                  <w:pPr>
                    <w:autoSpaceDE w:val="0"/>
                    <w:autoSpaceDN w:val="0"/>
                    <w:adjustRightInd w:val="0"/>
                    <w:snapToGrid w:val="0"/>
                    <w:rPr>
                      <w:kern w:val="0"/>
                      <w:szCs w:val="21"/>
                    </w:rPr>
                  </w:pPr>
                  <w:r>
                    <w:rPr>
                      <w:kern w:val="0"/>
                      <w:szCs w:val="21"/>
                    </w:rPr>
                    <w:t>取水口下游500米范围内有重要水生生物的自然产卵场、索饵场、越冬场和洄游通道的新增河道取水的污染类建设项目</w:t>
                  </w:r>
                </w:p>
              </w:tc>
              <w:tc>
                <w:tcPr>
                  <w:tcW w:w="3497" w:type="dxa"/>
                  <w:vAlign w:val="center"/>
                </w:tcPr>
                <w:p>
                  <w:pPr>
                    <w:autoSpaceDE w:val="0"/>
                    <w:autoSpaceDN w:val="0"/>
                    <w:adjustRightInd w:val="0"/>
                    <w:snapToGrid w:val="0"/>
                    <w:rPr>
                      <w:kern w:val="0"/>
                      <w:szCs w:val="21"/>
                    </w:rPr>
                  </w:pPr>
                  <w:r>
                    <w:rPr>
                      <w:rFonts w:hint="eastAsia"/>
                      <w:b/>
                      <w:bCs/>
                      <w:kern w:val="0"/>
                      <w:szCs w:val="21"/>
                      <w:u w:val="single"/>
                    </w:rPr>
                    <w:t>不设置，</w:t>
                  </w:r>
                  <w:r>
                    <w:rPr>
                      <w:rFonts w:hint="eastAsia"/>
                      <w:kern w:val="0"/>
                      <w:szCs w:val="21"/>
                    </w:rPr>
                    <w:t>项目运行期生产生活用水由附近山泉水引入，不向周边地表水体（澜沧江）设置取水口，无需进行生态专项评价。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1" w:type="dxa"/>
                  <w:vAlign w:val="center"/>
                </w:tcPr>
                <w:p>
                  <w:pPr>
                    <w:autoSpaceDE w:val="0"/>
                    <w:autoSpaceDN w:val="0"/>
                    <w:adjustRightInd w:val="0"/>
                    <w:snapToGrid w:val="0"/>
                    <w:jc w:val="center"/>
                    <w:rPr>
                      <w:kern w:val="0"/>
                      <w:szCs w:val="21"/>
                    </w:rPr>
                  </w:pPr>
                  <w:r>
                    <w:rPr>
                      <w:rFonts w:hint="eastAsia"/>
                      <w:kern w:val="0"/>
                      <w:szCs w:val="21"/>
                    </w:rPr>
                    <w:t>海洋</w:t>
                  </w:r>
                </w:p>
              </w:tc>
              <w:tc>
                <w:tcPr>
                  <w:tcW w:w="2268" w:type="dxa"/>
                  <w:vAlign w:val="center"/>
                </w:tcPr>
                <w:p>
                  <w:pPr>
                    <w:autoSpaceDE w:val="0"/>
                    <w:autoSpaceDN w:val="0"/>
                    <w:adjustRightInd w:val="0"/>
                    <w:snapToGrid w:val="0"/>
                    <w:rPr>
                      <w:kern w:val="0"/>
                      <w:szCs w:val="21"/>
                    </w:rPr>
                  </w:pPr>
                  <w:r>
                    <w:rPr>
                      <w:kern w:val="0"/>
                      <w:szCs w:val="21"/>
                    </w:rPr>
                    <w:t>直接向海排放污染物的海洋工程建设项目</w:t>
                  </w:r>
                </w:p>
              </w:tc>
              <w:tc>
                <w:tcPr>
                  <w:tcW w:w="3497" w:type="dxa"/>
                  <w:vAlign w:val="center"/>
                </w:tcPr>
                <w:p>
                  <w:pPr>
                    <w:autoSpaceDE w:val="0"/>
                    <w:autoSpaceDN w:val="0"/>
                    <w:adjustRightInd w:val="0"/>
                    <w:snapToGrid w:val="0"/>
                    <w:rPr>
                      <w:kern w:val="0"/>
                      <w:szCs w:val="21"/>
                    </w:rPr>
                  </w:pPr>
                  <w:r>
                    <w:rPr>
                      <w:rFonts w:hint="eastAsia"/>
                      <w:b/>
                      <w:bCs/>
                      <w:kern w:val="0"/>
                      <w:szCs w:val="21"/>
                      <w:u w:val="single"/>
                    </w:rPr>
                    <w:t>不设置，</w:t>
                  </w:r>
                  <w:r>
                    <w:rPr>
                      <w:rFonts w:hint="eastAsia"/>
                      <w:kern w:val="0"/>
                      <w:szCs w:val="21"/>
                    </w:rPr>
                    <w:t>本项目不属于直接向海排放污染物的海洋工程建设项目，无需进行海洋专项评价。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gridSpan w:val="3"/>
                  <w:vAlign w:val="center"/>
                </w:tcPr>
                <w:p>
                  <w:pPr>
                    <w:autoSpaceDE w:val="0"/>
                    <w:autoSpaceDN w:val="0"/>
                    <w:adjustRightInd w:val="0"/>
                    <w:snapToGrid w:val="0"/>
                    <w:jc w:val="left"/>
                    <w:rPr>
                      <w:kern w:val="0"/>
                      <w:szCs w:val="21"/>
                    </w:rPr>
                  </w:pPr>
                  <w:r>
                    <w:rPr>
                      <w:kern w:val="0"/>
                      <w:szCs w:val="21"/>
                    </w:rPr>
                    <w:t>注:</w:t>
                  </w:r>
                </w:p>
                <w:p>
                  <w:pPr>
                    <w:autoSpaceDE w:val="0"/>
                    <w:autoSpaceDN w:val="0"/>
                    <w:adjustRightInd w:val="0"/>
                    <w:snapToGrid w:val="0"/>
                    <w:rPr>
                      <w:kern w:val="0"/>
                      <w:szCs w:val="21"/>
                    </w:rPr>
                  </w:pPr>
                  <w:r>
                    <w:rPr>
                      <w:rFonts w:hint="eastAsia" w:ascii="宋体" w:hAnsi="宋体"/>
                      <w:kern w:val="0"/>
                      <w:szCs w:val="21"/>
                    </w:rPr>
                    <w:t>①</w:t>
                  </w:r>
                  <w:r>
                    <w:rPr>
                      <w:kern w:val="0"/>
                      <w:szCs w:val="21"/>
                    </w:rPr>
                    <w:t>废气中有毒有害污染物指纳入《有毒有害大气污染物名录》的污染物（不包括无排放标准的污染物）。</w:t>
                  </w:r>
                </w:p>
                <w:p>
                  <w:pPr>
                    <w:autoSpaceDE w:val="0"/>
                    <w:autoSpaceDN w:val="0"/>
                    <w:adjustRightInd w:val="0"/>
                    <w:snapToGrid w:val="0"/>
                    <w:rPr>
                      <w:kern w:val="0"/>
                      <w:szCs w:val="21"/>
                    </w:rPr>
                  </w:pPr>
                  <w:r>
                    <w:rPr>
                      <w:rFonts w:hint="eastAsia" w:ascii="宋体" w:hAnsi="宋体"/>
                      <w:kern w:val="0"/>
                      <w:szCs w:val="21"/>
                    </w:rPr>
                    <w:t>②</w:t>
                  </w:r>
                  <w:r>
                    <w:rPr>
                      <w:kern w:val="0"/>
                      <w:szCs w:val="21"/>
                    </w:rPr>
                    <w:t>环境空气保护目标指自然保护区、风景名胜区、居住区、文化区和农村地区中人群较集中的区域。</w:t>
                  </w:r>
                </w:p>
                <w:p>
                  <w:pPr>
                    <w:autoSpaceDE w:val="0"/>
                    <w:autoSpaceDN w:val="0"/>
                    <w:adjustRightInd w:val="0"/>
                    <w:snapToGrid w:val="0"/>
                    <w:rPr>
                      <w:kern w:val="0"/>
                      <w:szCs w:val="21"/>
                    </w:rPr>
                  </w:pPr>
                  <w:r>
                    <w:rPr>
                      <w:rFonts w:hint="eastAsia" w:ascii="宋体" w:hAnsi="宋体"/>
                      <w:kern w:val="0"/>
                      <w:szCs w:val="21"/>
                    </w:rPr>
                    <w:t>③</w:t>
                  </w:r>
                  <w:r>
                    <w:rPr>
                      <w:kern w:val="0"/>
                      <w:szCs w:val="21"/>
                    </w:rPr>
                    <w:t>临界量及其计算方法可参考《建设项目环境风险评价技术导则》</w:t>
                  </w:r>
                  <w:r>
                    <w:rPr>
                      <w:rFonts w:hint="eastAsia"/>
                      <w:kern w:val="0"/>
                      <w:szCs w:val="21"/>
                    </w:rPr>
                    <w:t>（</w:t>
                  </w:r>
                  <w:r>
                    <w:rPr>
                      <w:kern w:val="0"/>
                      <w:szCs w:val="21"/>
                    </w:rPr>
                    <w:t>HJ169</w:t>
                  </w:r>
                  <w:r>
                    <w:rPr>
                      <w:rFonts w:hint="eastAsia"/>
                      <w:kern w:val="0"/>
                      <w:szCs w:val="21"/>
                    </w:rPr>
                    <w:t>）</w:t>
                  </w:r>
                  <w:r>
                    <w:rPr>
                      <w:kern w:val="0"/>
                      <w:szCs w:val="21"/>
                    </w:rPr>
                    <w:t>附录B、附录C。</w:t>
                  </w:r>
                </w:p>
              </w:tc>
            </w:tr>
          </w:tbl>
          <w:p>
            <w:pPr>
              <w:autoSpaceDE w:val="0"/>
              <w:autoSpaceDN w:val="0"/>
              <w:adjustRightInd w:val="0"/>
              <w:snapToGrid w:val="0"/>
              <w:jc w:val="center"/>
              <w:rPr>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91" w:type="dxa"/>
            <w:gridSpan w:val="2"/>
            <w:vAlign w:val="center"/>
          </w:tcPr>
          <w:p>
            <w:pPr>
              <w:autoSpaceDE w:val="0"/>
              <w:autoSpaceDN w:val="0"/>
              <w:adjustRightInd w:val="0"/>
              <w:snapToGrid w:val="0"/>
              <w:jc w:val="center"/>
              <w:rPr>
                <w:kern w:val="0"/>
                <w:sz w:val="24"/>
              </w:rPr>
            </w:pPr>
            <w:r>
              <w:rPr>
                <w:sz w:val="24"/>
              </w:rPr>
              <w:t>规划情况</w:t>
            </w:r>
          </w:p>
        </w:tc>
        <w:tc>
          <w:tcPr>
            <w:tcW w:w="7133" w:type="dxa"/>
            <w:gridSpan w:val="5"/>
            <w:vAlign w:val="center"/>
          </w:tcPr>
          <w:p>
            <w:pPr>
              <w:autoSpaceDE w:val="0"/>
              <w:autoSpaceDN w:val="0"/>
              <w:adjustRightInd w:val="0"/>
              <w:snapToGrid w:val="0"/>
              <w:jc w:val="center"/>
              <w:rPr>
                <w:kern w:val="0"/>
                <w:sz w:val="24"/>
              </w:rPr>
            </w:pPr>
            <w:r>
              <w:rPr>
                <w:rFonts w:hint="eastAsia"/>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91" w:type="dxa"/>
            <w:gridSpan w:val="2"/>
            <w:vAlign w:val="center"/>
          </w:tcPr>
          <w:p>
            <w:pPr>
              <w:adjustRightInd w:val="0"/>
              <w:snapToGrid w:val="0"/>
              <w:jc w:val="center"/>
              <w:rPr>
                <w:sz w:val="24"/>
              </w:rPr>
            </w:pPr>
            <w:r>
              <w:rPr>
                <w:sz w:val="24"/>
              </w:rPr>
              <w:t>规划环境影响</w:t>
            </w:r>
          </w:p>
          <w:p>
            <w:pPr>
              <w:adjustRightInd w:val="0"/>
              <w:snapToGrid w:val="0"/>
              <w:jc w:val="center"/>
              <w:rPr>
                <w:kern w:val="0"/>
                <w:sz w:val="24"/>
              </w:rPr>
            </w:pPr>
            <w:r>
              <w:rPr>
                <w:sz w:val="24"/>
              </w:rPr>
              <w:t>评价情况</w:t>
            </w:r>
          </w:p>
        </w:tc>
        <w:tc>
          <w:tcPr>
            <w:tcW w:w="7133" w:type="dxa"/>
            <w:gridSpan w:val="5"/>
            <w:vAlign w:val="center"/>
          </w:tcPr>
          <w:p>
            <w:pPr>
              <w:autoSpaceDE w:val="0"/>
              <w:autoSpaceDN w:val="0"/>
              <w:adjustRightInd w:val="0"/>
              <w:snapToGrid w:val="0"/>
              <w:jc w:val="center"/>
              <w:rPr>
                <w:sz w:val="24"/>
              </w:rPr>
            </w:pPr>
            <w:r>
              <w:rPr>
                <w:rFonts w:hint="eastAsia"/>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91" w:type="dxa"/>
            <w:gridSpan w:val="2"/>
            <w:vAlign w:val="center"/>
          </w:tcPr>
          <w:p>
            <w:pPr>
              <w:adjustRightInd w:val="0"/>
              <w:snapToGrid w:val="0"/>
              <w:jc w:val="center"/>
              <w:rPr>
                <w:kern w:val="0"/>
                <w:sz w:val="24"/>
              </w:rPr>
            </w:pPr>
            <w:r>
              <w:rPr>
                <w:sz w:val="24"/>
              </w:rPr>
              <w:t>规划及规划环境影响评价符合性分析</w:t>
            </w:r>
          </w:p>
        </w:tc>
        <w:tc>
          <w:tcPr>
            <w:tcW w:w="7133" w:type="dxa"/>
            <w:gridSpan w:val="5"/>
            <w:vAlign w:val="center"/>
          </w:tcPr>
          <w:p>
            <w:pPr>
              <w:spacing w:line="360" w:lineRule="auto"/>
              <w:jc w:val="center"/>
              <w:rPr>
                <w:kern w:val="0"/>
                <w:sz w:val="24"/>
              </w:rPr>
            </w:pPr>
            <w:r>
              <w:rPr>
                <w:rFonts w:hint="eastAsia"/>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7" w:type="dxa"/>
            <w:vAlign w:val="center"/>
          </w:tcPr>
          <w:p>
            <w:pPr>
              <w:autoSpaceDE w:val="0"/>
              <w:autoSpaceDN w:val="0"/>
              <w:adjustRightInd w:val="0"/>
              <w:snapToGrid w:val="0"/>
              <w:jc w:val="center"/>
              <w:rPr>
                <w:b/>
                <w:bCs/>
                <w:kern w:val="0"/>
                <w:sz w:val="24"/>
              </w:rPr>
            </w:pPr>
            <w:r>
              <w:rPr>
                <w:b/>
                <w:bCs/>
                <w:kern w:val="0"/>
                <w:sz w:val="24"/>
              </w:rPr>
              <w:t>其他符合性分析</w:t>
            </w:r>
          </w:p>
        </w:tc>
        <w:tc>
          <w:tcPr>
            <w:tcW w:w="8207" w:type="dxa"/>
            <w:gridSpan w:val="6"/>
            <w:vAlign w:val="center"/>
          </w:tcPr>
          <w:p>
            <w:pPr>
              <w:spacing w:line="360" w:lineRule="auto"/>
              <w:rPr>
                <w:rFonts w:ascii="黑体" w:hAnsi="黑体" w:eastAsia="黑体"/>
                <w:b/>
                <w:bCs/>
                <w:kern w:val="0"/>
                <w:sz w:val="24"/>
              </w:rPr>
            </w:pPr>
            <w:bookmarkStart w:id="11" w:name="_Hlk141296193"/>
            <w:r>
              <w:rPr>
                <w:rFonts w:hint="eastAsia" w:ascii="黑体" w:hAnsi="黑体" w:eastAsia="黑体"/>
                <w:b/>
                <w:bCs/>
                <w:kern w:val="0"/>
                <w:sz w:val="24"/>
              </w:rPr>
              <w:t>（一）</w:t>
            </w:r>
            <w:r>
              <w:rPr>
                <w:rFonts w:ascii="黑体" w:hAnsi="黑体" w:eastAsia="黑体"/>
                <w:b/>
                <w:bCs/>
                <w:kern w:val="0"/>
                <w:sz w:val="24"/>
              </w:rPr>
              <w:t>“三线一单”符合性分析</w:t>
            </w:r>
          </w:p>
          <w:p>
            <w:pPr>
              <w:autoSpaceDE w:val="0"/>
              <w:autoSpaceDN w:val="0"/>
              <w:adjustRightInd w:val="0"/>
              <w:snapToGrid w:val="0"/>
              <w:spacing w:line="360" w:lineRule="auto"/>
              <w:ind w:firstLine="480" w:firstLineChars="200"/>
              <w:rPr>
                <w:kern w:val="0"/>
                <w:sz w:val="24"/>
              </w:rPr>
            </w:pPr>
            <w:r>
              <w:rPr>
                <w:rFonts w:hint="eastAsia"/>
                <w:kern w:val="0"/>
                <w:sz w:val="24"/>
              </w:rPr>
              <w:t>2021年7月19日，迪庆藏族自治州人民政府办公室印发《迪庆藏族自治州“三线一单”生态环境分区管控实施方案》的通知（迪政办发[2021]55号），</w:t>
            </w:r>
            <w:r>
              <w:rPr>
                <w:rFonts w:hint="eastAsia"/>
                <w:sz w:val="24"/>
              </w:rPr>
              <w:t>根据</w:t>
            </w:r>
            <w:r>
              <w:rPr>
                <w:rFonts w:hint="eastAsia"/>
                <w:kern w:val="0"/>
                <w:sz w:val="24"/>
              </w:rPr>
              <w:t>迪庆藏族自治州“三线一单”生态环境分区管控实施方案</w:t>
            </w:r>
            <w:r>
              <w:rPr>
                <w:rFonts w:hint="eastAsia"/>
                <w:sz w:val="24"/>
              </w:rPr>
              <w:t>（以下简称“实施方案”）相关要求，建设项目与“三线一单”符合性分析如下：</w:t>
            </w:r>
          </w:p>
          <w:p>
            <w:pPr>
              <w:autoSpaceDE w:val="0"/>
              <w:autoSpaceDN w:val="0"/>
              <w:adjustRightInd w:val="0"/>
              <w:snapToGrid w:val="0"/>
              <w:spacing w:line="360" w:lineRule="auto"/>
              <w:rPr>
                <w:b/>
                <w:bCs/>
                <w:kern w:val="0"/>
                <w:sz w:val="24"/>
              </w:rPr>
            </w:pPr>
            <w:r>
              <w:rPr>
                <w:rFonts w:hint="eastAsia"/>
                <w:b/>
                <w:bCs/>
                <w:kern w:val="0"/>
                <w:sz w:val="24"/>
              </w:rPr>
              <w:t>1、生态保护红线和一般生态空间</w:t>
            </w:r>
          </w:p>
          <w:p>
            <w:pPr>
              <w:autoSpaceDE w:val="0"/>
              <w:autoSpaceDN w:val="0"/>
              <w:adjustRightInd w:val="0"/>
              <w:snapToGrid w:val="0"/>
              <w:spacing w:line="360" w:lineRule="auto"/>
              <w:ind w:firstLine="481" w:firstLineChars="200"/>
              <w:rPr>
                <w:kern w:val="0"/>
                <w:sz w:val="24"/>
              </w:rPr>
            </w:pPr>
            <w:r>
              <w:rPr>
                <w:rFonts w:hint="eastAsia"/>
                <w:b/>
                <w:kern w:val="0"/>
                <w:sz w:val="24"/>
              </w:rPr>
              <w:t>实施方案要求：</w:t>
            </w:r>
            <w:r>
              <w:rPr>
                <w:rFonts w:hint="eastAsia"/>
                <w:kern w:val="0"/>
                <w:sz w:val="24"/>
              </w:rPr>
              <w:t>执行《云南省人民政府关于发布云南省生态保护红线的通知》，生态保护红线评估调整成果获批后，按照批准成果执行。将未划入生态保护红线的各类自然保护地、集中式饮用水水源地、公益林、天然林、基本草原等生态功能区和生态环境敏感区划入一般生态空间，迪庆州已划定的生态保护红线面积为15602.30km²，占全州国土面积的67.29%；一般生态空间2789.77km²，占全州国土面积12.03%，生态保护红线和生态空间面积共计18392.07km²，占全州国土面积79.32%。</w:t>
            </w:r>
          </w:p>
          <w:p>
            <w:pPr>
              <w:autoSpaceDE w:val="0"/>
              <w:autoSpaceDN w:val="0"/>
              <w:adjustRightInd w:val="0"/>
              <w:snapToGrid w:val="0"/>
              <w:spacing w:line="360" w:lineRule="auto"/>
              <w:ind w:firstLine="481" w:firstLineChars="200"/>
              <w:rPr>
                <w:kern w:val="0"/>
                <w:sz w:val="24"/>
              </w:rPr>
            </w:pPr>
            <w:r>
              <w:rPr>
                <w:rFonts w:hint="eastAsia"/>
                <w:b/>
                <w:kern w:val="0"/>
                <w:sz w:val="24"/>
              </w:rPr>
              <w:t>项目情况：</w:t>
            </w:r>
            <w:r>
              <w:rPr>
                <w:rFonts w:hint="eastAsia"/>
                <w:kern w:val="0"/>
                <w:sz w:val="24"/>
              </w:rPr>
              <w:t>项目选址位于维西傈僳族自治县白济汛乡下笼嘎，根据维西傈僳族自然资源局出具的</w:t>
            </w:r>
            <w:bookmarkStart w:id="12" w:name="_Hlk143503056"/>
            <w:r>
              <w:rPr>
                <w:rFonts w:hint="eastAsia"/>
                <w:kern w:val="0"/>
                <w:sz w:val="24"/>
              </w:rPr>
              <w:t>生态红线数据查询审批表</w:t>
            </w:r>
            <w:bookmarkEnd w:id="12"/>
            <w:r>
              <w:rPr>
                <w:rFonts w:hint="eastAsia"/>
                <w:kern w:val="0"/>
                <w:sz w:val="24"/>
              </w:rPr>
              <w:t>（详见</w:t>
            </w:r>
            <w:r>
              <w:rPr>
                <w:rFonts w:hint="eastAsia"/>
                <w:b/>
                <w:kern w:val="0"/>
                <w:sz w:val="24"/>
                <w:u w:val="single"/>
              </w:rPr>
              <w:t>附件</w:t>
            </w:r>
            <w:r>
              <w:rPr>
                <w:b/>
                <w:kern w:val="0"/>
                <w:sz w:val="24"/>
                <w:u w:val="single"/>
              </w:rPr>
              <w:t>4</w:t>
            </w:r>
            <w:r>
              <w:rPr>
                <w:rFonts w:hint="eastAsia"/>
                <w:kern w:val="0"/>
                <w:sz w:val="24"/>
              </w:rPr>
              <w:t>），本项目选址部分位于澜沧江干流</w:t>
            </w:r>
            <w:r>
              <w:rPr>
                <w:rFonts w:hint="eastAsia"/>
                <w:sz w:val="24"/>
              </w:rPr>
              <w:t>托巴电站淹没区内，但不占用生态保护红线</w:t>
            </w:r>
            <w:r>
              <w:rPr>
                <w:rFonts w:hint="eastAsia"/>
                <w:kern w:val="0"/>
                <w:sz w:val="24"/>
              </w:rPr>
              <w:t>。项目建设与“实施方案”中关于“生态保护红线和一般生态空间”要求不发生冲突。</w:t>
            </w:r>
          </w:p>
          <w:p>
            <w:pPr>
              <w:autoSpaceDE w:val="0"/>
              <w:autoSpaceDN w:val="0"/>
              <w:adjustRightInd w:val="0"/>
              <w:snapToGrid w:val="0"/>
              <w:spacing w:line="360" w:lineRule="auto"/>
              <w:jc w:val="left"/>
              <w:rPr>
                <w:b/>
                <w:bCs/>
                <w:kern w:val="0"/>
                <w:sz w:val="24"/>
              </w:rPr>
            </w:pPr>
            <w:r>
              <w:rPr>
                <w:rFonts w:hint="eastAsia"/>
                <w:b/>
                <w:bCs/>
                <w:kern w:val="0"/>
                <w:sz w:val="24"/>
              </w:rPr>
              <w:t>2、环境质量底线</w:t>
            </w:r>
          </w:p>
          <w:p>
            <w:pPr>
              <w:autoSpaceDE w:val="0"/>
              <w:autoSpaceDN w:val="0"/>
              <w:adjustRightInd w:val="0"/>
              <w:snapToGrid w:val="0"/>
              <w:spacing w:line="360" w:lineRule="auto"/>
              <w:ind w:firstLine="481" w:firstLineChars="200"/>
              <w:jc w:val="left"/>
              <w:rPr>
                <w:b/>
                <w:kern w:val="0"/>
                <w:sz w:val="24"/>
              </w:rPr>
            </w:pPr>
            <w:r>
              <w:rPr>
                <w:rFonts w:hint="eastAsia"/>
                <w:b/>
                <w:kern w:val="0"/>
                <w:sz w:val="24"/>
              </w:rPr>
              <w:t>（1）</w:t>
            </w:r>
            <w:r>
              <w:rPr>
                <w:b/>
                <w:kern w:val="0"/>
                <w:sz w:val="24"/>
              </w:rPr>
              <w:t>水环境质量底线</w:t>
            </w:r>
          </w:p>
          <w:p>
            <w:pPr>
              <w:autoSpaceDE w:val="0"/>
              <w:autoSpaceDN w:val="0"/>
              <w:adjustRightInd w:val="0"/>
              <w:snapToGrid w:val="0"/>
              <w:spacing w:line="360" w:lineRule="auto"/>
              <w:ind w:firstLine="481" w:firstLineChars="200"/>
              <w:jc w:val="left"/>
              <w:rPr>
                <w:kern w:val="0"/>
                <w:sz w:val="24"/>
              </w:rPr>
            </w:pPr>
            <w:r>
              <w:rPr>
                <w:rFonts w:hint="eastAsia"/>
                <w:b/>
                <w:kern w:val="0"/>
                <w:sz w:val="24"/>
              </w:rPr>
              <w:t>实施方案要求：</w:t>
            </w:r>
            <w:r>
              <w:rPr>
                <w:rFonts w:hint="eastAsia"/>
                <w:kern w:val="0"/>
                <w:sz w:val="24"/>
              </w:rPr>
              <w:t>到2025年，两大水系优良水体水环境质量稳中向好，纳帕海为主的高原湖泊水质得到逐步改善，达到水环境功能目标要求。到2035年，全州水环境质量进一步改善，水环境风险得到有效管控。</w:t>
            </w:r>
          </w:p>
          <w:p>
            <w:pPr>
              <w:autoSpaceDE w:val="0"/>
              <w:autoSpaceDN w:val="0"/>
              <w:adjustRightInd w:val="0"/>
              <w:snapToGrid w:val="0"/>
              <w:spacing w:line="360" w:lineRule="auto"/>
              <w:ind w:firstLine="481" w:firstLineChars="200"/>
              <w:jc w:val="left"/>
              <w:rPr>
                <w:kern w:val="0"/>
                <w:sz w:val="24"/>
              </w:rPr>
            </w:pPr>
            <w:r>
              <w:rPr>
                <w:rFonts w:hint="eastAsia"/>
                <w:b/>
                <w:kern w:val="0"/>
                <w:sz w:val="24"/>
              </w:rPr>
              <w:t>项目情况：</w:t>
            </w:r>
            <w:r>
              <w:rPr>
                <w:rFonts w:hint="eastAsia"/>
                <w:kern w:val="0"/>
                <w:sz w:val="24"/>
              </w:rPr>
              <w:t>项目选址位于维西傈僳族自治县白济汛乡下笼嘎，不涉及纳帕海。根据现场踏勘调查，选址周边主要地表水体为项目区东侧约1</w:t>
            </w:r>
            <w:r>
              <w:rPr>
                <w:kern w:val="0"/>
                <w:sz w:val="24"/>
              </w:rPr>
              <w:t>80</w:t>
            </w:r>
            <w:r>
              <w:rPr>
                <w:rFonts w:hint="eastAsia"/>
                <w:kern w:val="0"/>
                <w:sz w:val="24"/>
              </w:rPr>
              <w:t>m处的澜沧江干流，考虑项目运营过程中废水经有效措施收集处置后回用，不向外环境设置废水排放口，故项目建设不会增加区域地表水体污染负荷，对区域水体质量不会造成冲击，与“实施方案”中关于“水环境质量底线”相关要求均符合。</w:t>
            </w:r>
          </w:p>
          <w:p>
            <w:pPr>
              <w:autoSpaceDE w:val="0"/>
              <w:autoSpaceDN w:val="0"/>
              <w:adjustRightInd w:val="0"/>
              <w:snapToGrid w:val="0"/>
              <w:spacing w:line="360" w:lineRule="auto"/>
              <w:ind w:firstLine="481" w:firstLineChars="200"/>
              <w:rPr>
                <w:b/>
                <w:kern w:val="0"/>
                <w:sz w:val="24"/>
              </w:rPr>
            </w:pPr>
            <w:r>
              <w:rPr>
                <w:rFonts w:hint="eastAsia"/>
                <w:b/>
                <w:kern w:val="0"/>
                <w:sz w:val="24"/>
              </w:rPr>
              <w:t>（2）</w:t>
            </w:r>
            <w:r>
              <w:rPr>
                <w:b/>
                <w:kern w:val="0"/>
                <w:sz w:val="24"/>
              </w:rPr>
              <w:t>大气环境质量底线</w:t>
            </w:r>
          </w:p>
          <w:p>
            <w:pPr>
              <w:autoSpaceDE w:val="0"/>
              <w:autoSpaceDN w:val="0"/>
              <w:adjustRightInd w:val="0"/>
              <w:snapToGrid w:val="0"/>
              <w:spacing w:line="360" w:lineRule="auto"/>
              <w:ind w:firstLine="481" w:firstLineChars="200"/>
              <w:rPr>
                <w:kern w:val="0"/>
                <w:sz w:val="24"/>
              </w:rPr>
            </w:pPr>
            <w:r>
              <w:rPr>
                <w:rFonts w:hint="eastAsia"/>
                <w:b/>
                <w:kern w:val="0"/>
                <w:sz w:val="24"/>
              </w:rPr>
              <w:t>实施方案要求：</w:t>
            </w:r>
            <w:r>
              <w:rPr>
                <w:rFonts w:hint="eastAsia"/>
                <w:kern w:val="0"/>
                <w:sz w:val="24"/>
              </w:rPr>
              <w:t>到2025年，全州环境空气质量保持优良，各县市空气质量稳定达到国家二级标准，细颗粒物浓度保持15ug/m³水平；到2035年，大气环境治理水平进一步提升，细颗粒物排放水平和城镇空气质量稳居全省前列。</w:t>
            </w:r>
          </w:p>
          <w:p>
            <w:pPr>
              <w:autoSpaceDE w:val="0"/>
              <w:autoSpaceDN w:val="0"/>
              <w:adjustRightInd w:val="0"/>
              <w:snapToGrid w:val="0"/>
              <w:spacing w:line="360" w:lineRule="auto"/>
              <w:ind w:firstLine="481" w:firstLineChars="200"/>
              <w:rPr>
                <w:kern w:val="0"/>
                <w:sz w:val="24"/>
              </w:rPr>
            </w:pPr>
            <w:r>
              <w:rPr>
                <w:rFonts w:hint="eastAsia"/>
                <w:b/>
                <w:kern w:val="0"/>
                <w:sz w:val="24"/>
              </w:rPr>
              <w:t>项目情况：</w:t>
            </w:r>
            <w:r>
              <w:rPr>
                <w:rFonts w:hint="eastAsia"/>
                <w:kern w:val="0"/>
                <w:sz w:val="24"/>
              </w:rPr>
              <w:t>项目选址位于维西傈僳族自治县白济汛乡下笼嘎，属农村地区，周边植被丰富，且项目区周边不存在已建或在建的大型废气排放企业，整体环境空气质量较好。项目建设及运行过程中主要大气环境污染物为TSP。评价要求根据国家级地方相关要求，从严落实粉尘防治措施，确保TSP无组织排放达相关排放标准，最大限度减少项目建设运营对区域大气环境的影响，项目建设与“实施方案”中关于“大气环境质量底线”的相关要求均符合。</w:t>
            </w:r>
          </w:p>
          <w:p>
            <w:pPr>
              <w:autoSpaceDE w:val="0"/>
              <w:autoSpaceDN w:val="0"/>
              <w:adjustRightInd w:val="0"/>
              <w:snapToGrid w:val="0"/>
              <w:spacing w:line="360" w:lineRule="auto"/>
              <w:ind w:firstLine="481" w:firstLineChars="200"/>
              <w:jc w:val="left"/>
              <w:rPr>
                <w:b/>
                <w:kern w:val="0"/>
                <w:sz w:val="24"/>
              </w:rPr>
            </w:pPr>
            <w:r>
              <w:rPr>
                <w:rFonts w:hint="eastAsia"/>
                <w:b/>
                <w:kern w:val="0"/>
                <w:sz w:val="24"/>
              </w:rPr>
              <w:t>（3）</w:t>
            </w:r>
            <w:r>
              <w:rPr>
                <w:b/>
                <w:kern w:val="0"/>
                <w:sz w:val="24"/>
              </w:rPr>
              <w:t>土壤环境风险防控底线</w:t>
            </w:r>
          </w:p>
          <w:p>
            <w:pPr>
              <w:autoSpaceDE w:val="0"/>
              <w:autoSpaceDN w:val="0"/>
              <w:adjustRightInd w:val="0"/>
              <w:snapToGrid w:val="0"/>
              <w:spacing w:line="360" w:lineRule="auto"/>
              <w:ind w:firstLine="481" w:firstLineChars="200"/>
              <w:rPr>
                <w:kern w:val="0"/>
                <w:sz w:val="24"/>
              </w:rPr>
            </w:pPr>
            <w:r>
              <w:rPr>
                <w:rFonts w:hint="eastAsia"/>
                <w:b/>
                <w:kern w:val="0"/>
                <w:sz w:val="24"/>
              </w:rPr>
              <w:t>实施方案要求：</w:t>
            </w:r>
            <w:r>
              <w:rPr>
                <w:rFonts w:hint="eastAsia"/>
                <w:kern w:val="0"/>
                <w:sz w:val="24"/>
              </w:rPr>
              <w:t>到2025年，土壤环境质量总体保持稳定，土壤污染得到基本控制，农用地、建设用地土壤环境安全得到基本保障；到2035年，全州土壤环境质量稳中向好，农用地和建设用地土壤环境安全得到有效保障，土壤环境风险得到全面管控。</w:t>
            </w:r>
          </w:p>
          <w:p>
            <w:pPr>
              <w:autoSpaceDE w:val="0"/>
              <w:autoSpaceDN w:val="0"/>
              <w:adjustRightInd w:val="0"/>
              <w:snapToGrid w:val="0"/>
              <w:spacing w:line="360" w:lineRule="auto"/>
              <w:ind w:firstLine="481" w:firstLineChars="200"/>
              <w:rPr>
                <w:kern w:val="0"/>
                <w:sz w:val="24"/>
              </w:rPr>
            </w:pPr>
            <w:r>
              <w:rPr>
                <w:rFonts w:hint="eastAsia"/>
                <w:b/>
                <w:kern w:val="0"/>
                <w:sz w:val="24"/>
              </w:rPr>
              <w:t>项目情况：</w:t>
            </w:r>
            <w:r>
              <w:rPr>
                <w:rFonts w:hint="eastAsia"/>
                <w:kern w:val="0"/>
                <w:sz w:val="24"/>
              </w:rPr>
              <w:t>项目选址位于维西傈僳族自治县白济汛乡下笼嘎，选址不涉及生态保护红线、基本农田。根据工程特性分析，项目建设及运营过程中，主要土壤环境风险物质为废矿物油。项目规划阶段已按照危险废物贮存场所相关要求规划设计5m²危废暂存间，确保运营期危险废物合规有效处置，切断土壤环境污染途径，故项目建设与“实施方案”中关于“土壤环境风险防控底线”相关要求均符合。</w:t>
            </w:r>
          </w:p>
          <w:p>
            <w:pPr>
              <w:autoSpaceDE w:val="0"/>
              <w:autoSpaceDN w:val="0"/>
              <w:adjustRightInd w:val="0"/>
              <w:snapToGrid w:val="0"/>
              <w:spacing w:line="360" w:lineRule="auto"/>
              <w:rPr>
                <w:b/>
                <w:bCs/>
                <w:kern w:val="0"/>
                <w:sz w:val="24"/>
              </w:rPr>
            </w:pPr>
            <w:r>
              <w:rPr>
                <w:rFonts w:hint="eastAsia"/>
                <w:b/>
                <w:bCs/>
                <w:kern w:val="0"/>
                <w:sz w:val="24"/>
              </w:rPr>
              <w:t>3、资源利用上线</w:t>
            </w:r>
          </w:p>
          <w:p>
            <w:pPr>
              <w:autoSpaceDE w:val="0"/>
              <w:autoSpaceDN w:val="0"/>
              <w:adjustRightInd w:val="0"/>
              <w:snapToGrid w:val="0"/>
              <w:spacing w:line="360" w:lineRule="auto"/>
              <w:ind w:firstLine="481" w:firstLineChars="200"/>
              <w:rPr>
                <w:kern w:val="0"/>
                <w:sz w:val="24"/>
              </w:rPr>
            </w:pPr>
            <w:r>
              <w:rPr>
                <w:rFonts w:hint="eastAsia"/>
                <w:b/>
                <w:kern w:val="0"/>
                <w:sz w:val="24"/>
              </w:rPr>
              <w:t>实施方案要求：</w:t>
            </w:r>
            <w:r>
              <w:rPr>
                <w:rFonts w:hint="eastAsia"/>
                <w:kern w:val="0"/>
                <w:sz w:val="24"/>
              </w:rPr>
              <w:t>到2025年，水资源、能源资源和土地开发利用控制在省下达指标内；到2035年，资源利用率进一步提高，资源开发利用与生态环境保护基本协调。</w:t>
            </w:r>
          </w:p>
          <w:p>
            <w:pPr>
              <w:autoSpaceDE w:val="0"/>
              <w:autoSpaceDN w:val="0"/>
              <w:adjustRightInd w:val="0"/>
              <w:snapToGrid w:val="0"/>
              <w:spacing w:line="360" w:lineRule="auto"/>
              <w:ind w:firstLine="481" w:firstLineChars="200"/>
              <w:rPr>
                <w:rFonts w:cs="宋体"/>
                <w:sz w:val="24"/>
              </w:rPr>
            </w:pPr>
            <w:r>
              <w:rPr>
                <w:rFonts w:hint="eastAsia"/>
                <w:b/>
                <w:kern w:val="0"/>
                <w:sz w:val="24"/>
              </w:rPr>
              <w:t>项目情况：</w:t>
            </w:r>
            <w:r>
              <w:rPr>
                <w:rFonts w:hint="eastAsia"/>
                <w:kern w:val="0"/>
                <w:sz w:val="24"/>
              </w:rPr>
              <w:t>项目选址位于维西傈僳族自治县白济汛乡下笼嘎</w:t>
            </w:r>
            <w:r>
              <w:rPr>
                <w:rFonts w:hint="eastAsia"/>
                <w:sz w:val="24"/>
              </w:rPr>
              <w:t>，选址区域不涉及</w:t>
            </w:r>
            <w:r>
              <w:rPr>
                <w:rFonts w:hint="eastAsia" w:cs="宋体"/>
                <w:sz w:val="24"/>
              </w:rPr>
              <w:t>永久基本农田、生态保护红线，其中工业区、生活区涉及的9、1</w:t>
            </w:r>
            <w:r>
              <w:rPr>
                <w:rFonts w:cs="宋体"/>
                <w:sz w:val="24"/>
              </w:rPr>
              <w:t>0</w:t>
            </w:r>
            <w:r>
              <w:rPr>
                <w:rFonts w:hint="eastAsia" w:cs="宋体"/>
                <w:sz w:val="24"/>
              </w:rPr>
              <w:t>、1</w:t>
            </w:r>
            <w:r>
              <w:rPr>
                <w:rFonts w:cs="宋体"/>
                <w:sz w:val="24"/>
              </w:rPr>
              <w:t>1</w:t>
            </w:r>
            <w:r>
              <w:rPr>
                <w:rFonts w:hint="eastAsia" w:cs="宋体"/>
                <w:sz w:val="24"/>
              </w:rPr>
              <w:t>号地块占压耕地0</w:t>
            </w:r>
            <w:r>
              <w:rPr>
                <w:rFonts w:cs="宋体"/>
                <w:sz w:val="24"/>
              </w:rPr>
              <w:t>.0786</w:t>
            </w:r>
            <w:r>
              <w:rPr>
                <w:rFonts w:hint="eastAsia" w:cs="宋体"/>
                <w:sz w:val="24"/>
              </w:rPr>
              <w:t>亩，目前已办理农用地转生产用地相关手续，项目用地符合维西傈僳族自治县国土空间规划；项目运营期用水由附近山泉水引入，生产废水要求经收集沉淀处理后回用于洗砂工段，不外排；运营期能源消耗主要为电能，其由白济汛乡供电电网供给。综上分析，项目建设运营后对维西县土地开发利用方式和水电供给方式影响不大，不会突破区域资源利用上限。</w:t>
            </w:r>
          </w:p>
          <w:p>
            <w:pPr>
              <w:autoSpaceDE w:val="0"/>
              <w:autoSpaceDN w:val="0"/>
              <w:adjustRightInd w:val="0"/>
              <w:snapToGrid w:val="0"/>
              <w:spacing w:line="360" w:lineRule="auto"/>
              <w:rPr>
                <w:b/>
                <w:bCs/>
                <w:kern w:val="0"/>
                <w:sz w:val="24"/>
              </w:rPr>
            </w:pPr>
            <w:r>
              <w:rPr>
                <w:b/>
                <w:bCs/>
                <w:kern w:val="0"/>
                <w:sz w:val="24"/>
              </w:rPr>
              <w:t>4</w:t>
            </w:r>
            <w:r>
              <w:rPr>
                <w:rFonts w:hint="eastAsia"/>
                <w:b/>
                <w:bCs/>
                <w:kern w:val="0"/>
                <w:sz w:val="24"/>
              </w:rPr>
              <w:t>、生态环境准入清单</w:t>
            </w:r>
          </w:p>
          <w:p>
            <w:pPr>
              <w:autoSpaceDE w:val="0"/>
              <w:autoSpaceDN w:val="0"/>
              <w:adjustRightInd w:val="0"/>
              <w:snapToGrid w:val="0"/>
              <w:spacing w:line="360" w:lineRule="auto"/>
              <w:ind w:firstLine="480" w:firstLineChars="200"/>
              <w:rPr>
                <w:kern w:val="0"/>
                <w:sz w:val="24"/>
              </w:rPr>
            </w:pPr>
            <w:bookmarkStart w:id="13" w:name="_Hlk142985118"/>
            <w:r>
              <w:rPr>
                <w:rFonts w:hint="eastAsia"/>
                <w:kern w:val="0"/>
                <w:sz w:val="24"/>
              </w:rPr>
              <w:t>根据《迪庆藏族自治州“三线一单”生态环境分区管控实施方案》的通知，全州共划定24个生态环境管控单元，分为优先保护、重点管控和一般管控3类，其中：优先保护单元9个，重点管控单元12个，一般管控单元3个。项目选址位于维西傈僳族自治县白济汛乡下笼嘎，属“实施方案”中一般管控单元。建设项目与“实施方案”中迪庆藏族自治州生态环境管控总体要求、一般管控单元生态环境准入清单符合性分析如下：</w:t>
            </w:r>
          </w:p>
          <w:p>
            <w:pPr>
              <w:autoSpaceDE w:val="0"/>
              <w:autoSpaceDN w:val="0"/>
              <w:adjustRightInd w:val="0"/>
              <w:snapToGrid w:val="0"/>
              <w:jc w:val="center"/>
              <w:rPr>
                <w:b/>
                <w:kern w:val="0"/>
                <w:sz w:val="24"/>
              </w:rPr>
            </w:pPr>
            <w:r>
              <w:rPr>
                <w:rFonts w:hint="eastAsia"/>
                <w:b/>
                <w:kern w:val="0"/>
                <w:sz w:val="24"/>
              </w:rPr>
              <w:t>表1</w:t>
            </w:r>
            <w:r>
              <w:rPr>
                <w:b/>
                <w:kern w:val="0"/>
                <w:sz w:val="24"/>
              </w:rPr>
              <w:t xml:space="preserve">.1-1  </w:t>
            </w:r>
            <w:r>
              <w:rPr>
                <w:rFonts w:hint="eastAsia"/>
                <w:b/>
                <w:kern w:val="0"/>
                <w:sz w:val="24"/>
              </w:rPr>
              <w:t>项目与迪庆藏族自治州生态环境管控总体要求符合性分析</w:t>
            </w:r>
          </w:p>
          <w:tbl>
            <w:tblPr>
              <w:tblStyle w:val="3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78"/>
              <w:gridCol w:w="3260"/>
              <w:gridCol w:w="3260"/>
              <w:gridCol w:w="7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8" w:type="dxa"/>
                  <w:vAlign w:val="center"/>
                </w:tcPr>
                <w:p>
                  <w:pPr>
                    <w:autoSpaceDE w:val="0"/>
                    <w:autoSpaceDN w:val="0"/>
                    <w:adjustRightInd w:val="0"/>
                    <w:snapToGrid w:val="0"/>
                    <w:jc w:val="center"/>
                    <w:rPr>
                      <w:b/>
                      <w:kern w:val="0"/>
                      <w:szCs w:val="21"/>
                    </w:rPr>
                  </w:pPr>
                  <w:r>
                    <w:rPr>
                      <w:rFonts w:hint="eastAsia"/>
                      <w:b/>
                      <w:kern w:val="0"/>
                      <w:szCs w:val="21"/>
                    </w:rPr>
                    <w:t>管控维度</w:t>
                  </w:r>
                </w:p>
              </w:tc>
              <w:tc>
                <w:tcPr>
                  <w:tcW w:w="3260" w:type="dxa"/>
                  <w:vAlign w:val="center"/>
                </w:tcPr>
                <w:p>
                  <w:pPr>
                    <w:autoSpaceDE w:val="0"/>
                    <w:autoSpaceDN w:val="0"/>
                    <w:adjustRightInd w:val="0"/>
                    <w:snapToGrid w:val="0"/>
                    <w:jc w:val="center"/>
                    <w:rPr>
                      <w:b/>
                      <w:kern w:val="0"/>
                      <w:szCs w:val="21"/>
                    </w:rPr>
                  </w:pPr>
                  <w:r>
                    <w:rPr>
                      <w:rFonts w:hint="eastAsia"/>
                      <w:b/>
                      <w:kern w:val="0"/>
                      <w:szCs w:val="21"/>
                    </w:rPr>
                    <w:t>管控要求</w:t>
                  </w:r>
                </w:p>
              </w:tc>
              <w:tc>
                <w:tcPr>
                  <w:tcW w:w="3260" w:type="dxa"/>
                  <w:vAlign w:val="center"/>
                </w:tcPr>
                <w:p>
                  <w:pPr>
                    <w:autoSpaceDE w:val="0"/>
                    <w:autoSpaceDN w:val="0"/>
                    <w:adjustRightInd w:val="0"/>
                    <w:snapToGrid w:val="0"/>
                    <w:jc w:val="center"/>
                    <w:rPr>
                      <w:b/>
                      <w:kern w:val="0"/>
                      <w:szCs w:val="21"/>
                    </w:rPr>
                  </w:pPr>
                  <w:r>
                    <w:rPr>
                      <w:rFonts w:hint="eastAsia"/>
                      <w:b/>
                      <w:kern w:val="0"/>
                      <w:szCs w:val="21"/>
                    </w:rPr>
                    <w:t>项目情况</w:t>
                  </w:r>
                </w:p>
              </w:tc>
              <w:tc>
                <w:tcPr>
                  <w:tcW w:w="783" w:type="dxa"/>
                  <w:vAlign w:val="center"/>
                </w:tcPr>
                <w:p>
                  <w:pPr>
                    <w:autoSpaceDE w:val="0"/>
                    <w:autoSpaceDN w:val="0"/>
                    <w:adjustRightInd w:val="0"/>
                    <w:snapToGrid w:val="0"/>
                    <w:jc w:val="center"/>
                    <w:rPr>
                      <w:b/>
                      <w:kern w:val="0"/>
                      <w:szCs w:val="21"/>
                    </w:rPr>
                  </w:pPr>
                  <w:r>
                    <w:rPr>
                      <w:rFonts w:hint="eastAsia"/>
                      <w:b/>
                      <w:kern w:val="0"/>
                      <w:szCs w:val="21"/>
                    </w:rPr>
                    <w:t>是否符合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8" w:type="dxa"/>
                  <w:vMerge w:val="restart"/>
                  <w:vAlign w:val="center"/>
                </w:tcPr>
                <w:p>
                  <w:pPr>
                    <w:autoSpaceDE w:val="0"/>
                    <w:autoSpaceDN w:val="0"/>
                    <w:adjustRightInd w:val="0"/>
                    <w:snapToGrid w:val="0"/>
                    <w:jc w:val="center"/>
                    <w:rPr>
                      <w:kern w:val="0"/>
                      <w:szCs w:val="21"/>
                    </w:rPr>
                  </w:pPr>
                  <w:r>
                    <w:rPr>
                      <w:rFonts w:hint="eastAsia"/>
                      <w:kern w:val="0"/>
                      <w:szCs w:val="21"/>
                    </w:rPr>
                    <w:t>空间管控</w:t>
                  </w:r>
                </w:p>
              </w:tc>
              <w:tc>
                <w:tcPr>
                  <w:tcW w:w="3260" w:type="dxa"/>
                  <w:vAlign w:val="center"/>
                </w:tcPr>
                <w:p>
                  <w:pPr>
                    <w:autoSpaceDE w:val="0"/>
                    <w:autoSpaceDN w:val="0"/>
                    <w:adjustRightInd w:val="0"/>
                    <w:snapToGrid w:val="0"/>
                    <w:rPr>
                      <w:kern w:val="0"/>
                      <w:szCs w:val="21"/>
                    </w:rPr>
                  </w:pPr>
                  <w:r>
                    <w:rPr>
                      <w:rFonts w:hint="eastAsia"/>
                      <w:kern w:val="0"/>
                      <w:szCs w:val="21"/>
                    </w:rPr>
                    <w:t>禁止在铁路、高速公路、国道、省道等重要交通干线和旅游线路两侧可视范围内砂石开采，露天采石（砂）场矿界与村庄距离不得小于500米，新建、改建、扩建建筑用石料和建筑用砂项目，开采规模不得小于30万吨</w:t>
                  </w:r>
                  <w:r>
                    <w:rPr>
                      <w:kern w:val="0"/>
                      <w:szCs w:val="21"/>
                    </w:rPr>
                    <w:t>/</w:t>
                  </w:r>
                  <w:r>
                    <w:rPr>
                      <w:rFonts w:hint="eastAsia"/>
                      <w:kern w:val="0"/>
                      <w:szCs w:val="21"/>
                    </w:rPr>
                    <w:t>年和10万吨</w:t>
                  </w:r>
                  <w:r>
                    <w:rPr>
                      <w:kern w:val="0"/>
                      <w:szCs w:val="21"/>
                    </w:rPr>
                    <w:t>/</w:t>
                  </w:r>
                  <w:r>
                    <w:rPr>
                      <w:rFonts w:hint="eastAsia"/>
                      <w:kern w:val="0"/>
                      <w:szCs w:val="21"/>
                    </w:rPr>
                    <w:t>年。</w:t>
                  </w:r>
                </w:p>
              </w:tc>
              <w:tc>
                <w:tcPr>
                  <w:tcW w:w="3260" w:type="dxa"/>
                  <w:vAlign w:val="center"/>
                </w:tcPr>
                <w:p>
                  <w:pPr>
                    <w:autoSpaceDE w:val="0"/>
                    <w:autoSpaceDN w:val="0"/>
                    <w:adjustRightInd w:val="0"/>
                    <w:snapToGrid w:val="0"/>
                    <w:rPr>
                      <w:kern w:val="0"/>
                      <w:szCs w:val="21"/>
                    </w:rPr>
                  </w:pPr>
                  <w:r>
                    <w:rPr>
                      <w:rFonts w:hint="eastAsia"/>
                      <w:kern w:val="0"/>
                      <w:szCs w:val="21"/>
                    </w:rPr>
                    <w:t>项目厂址位于维西傈僳族自治县白济汛乡下笼嘎，对照《国民经济行业分类》（GB</w:t>
                  </w:r>
                  <w:r>
                    <w:rPr>
                      <w:kern w:val="0"/>
                      <w:szCs w:val="21"/>
                    </w:rPr>
                    <w:t>/</w:t>
                  </w:r>
                  <w:r>
                    <w:rPr>
                      <w:rFonts w:hint="eastAsia"/>
                      <w:kern w:val="0"/>
                      <w:szCs w:val="21"/>
                    </w:rPr>
                    <w:t>T</w:t>
                  </w:r>
                  <w:r>
                    <w:rPr>
                      <w:kern w:val="0"/>
                      <w:szCs w:val="21"/>
                    </w:rPr>
                    <w:t xml:space="preserve"> 4754-2017</w:t>
                  </w:r>
                  <w:r>
                    <w:rPr>
                      <w:rFonts w:hint="eastAsia"/>
                      <w:kern w:val="0"/>
                      <w:szCs w:val="21"/>
                    </w:rPr>
                    <w:t xml:space="preserve">），行业分类属 </w:t>
                  </w:r>
                  <w:r>
                    <w:rPr>
                      <w:rFonts w:hint="eastAsia"/>
                      <w:szCs w:val="21"/>
                    </w:rPr>
                    <w:t>C3099 其它非金属矿物制品制造，项目运营期建设单位向周边地区购买建筑施工场地开挖出的砂石含量大于80%的砂石土作为生产原料，项目不单独设置矿权进行土砂石开采。</w:t>
                  </w:r>
                </w:p>
              </w:tc>
              <w:tc>
                <w:tcPr>
                  <w:tcW w:w="783" w:type="dxa"/>
                  <w:vAlign w:val="center"/>
                </w:tcPr>
                <w:p>
                  <w:pPr>
                    <w:autoSpaceDE w:val="0"/>
                    <w:autoSpaceDN w:val="0"/>
                    <w:adjustRightInd w:val="0"/>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8" w:type="dxa"/>
                  <w:vMerge w:val="continue"/>
                  <w:vAlign w:val="center"/>
                </w:tcPr>
                <w:p>
                  <w:pPr>
                    <w:autoSpaceDE w:val="0"/>
                    <w:autoSpaceDN w:val="0"/>
                    <w:adjustRightInd w:val="0"/>
                    <w:snapToGrid w:val="0"/>
                    <w:jc w:val="center"/>
                    <w:rPr>
                      <w:kern w:val="0"/>
                      <w:szCs w:val="21"/>
                    </w:rPr>
                  </w:pPr>
                </w:p>
              </w:tc>
              <w:tc>
                <w:tcPr>
                  <w:tcW w:w="3260" w:type="dxa"/>
                  <w:vAlign w:val="center"/>
                </w:tcPr>
                <w:p>
                  <w:pPr>
                    <w:autoSpaceDE w:val="0"/>
                    <w:autoSpaceDN w:val="0"/>
                    <w:adjustRightInd w:val="0"/>
                    <w:snapToGrid w:val="0"/>
                    <w:rPr>
                      <w:kern w:val="0"/>
                      <w:szCs w:val="21"/>
                    </w:rPr>
                  </w:pPr>
                  <w:r>
                    <w:rPr>
                      <w:rFonts w:hint="eastAsia"/>
                      <w:kern w:val="0"/>
                      <w:szCs w:val="21"/>
                    </w:rPr>
                    <w:t>三江并流世界自然遗产地内已设置的探矿权、采矿权，依法限期退出。</w:t>
                  </w:r>
                </w:p>
              </w:tc>
              <w:tc>
                <w:tcPr>
                  <w:tcW w:w="3260" w:type="dxa"/>
                  <w:vAlign w:val="center"/>
                </w:tcPr>
                <w:p>
                  <w:pPr>
                    <w:autoSpaceDE w:val="0"/>
                    <w:autoSpaceDN w:val="0"/>
                    <w:adjustRightInd w:val="0"/>
                    <w:snapToGrid w:val="0"/>
                    <w:rPr>
                      <w:kern w:val="0"/>
                      <w:szCs w:val="21"/>
                    </w:rPr>
                  </w:pPr>
                  <w:r>
                    <w:rPr>
                      <w:rFonts w:hint="eastAsia"/>
                      <w:kern w:val="0"/>
                      <w:szCs w:val="21"/>
                    </w:rPr>
                    <w:t>项目厂址位于维西傈僳族自治县白济汛乡下笼嘎，不占压基本农田及维西县生态保护红线（详见</w:t>
                  </w:r>
                  <w:r>
                    <w:rPr>
                      <w:rFonts w:hint="eastAsia"/>
                      <w:b/>
                      <w:kern w:val="0"/>
                      <w:szCs w:val="21"/>
                      <w:u w:val="single"/>
                    </w:rPr>
                    <w:t>附件</w:t>
                  </w:r>
                  <w:r>
                    <w:rPr>
                      <w:b/>
                      <w:kern w:val="0"/>
                      <w:szCs w:val="21"/>
                      <w:u w:val="single"/>
                    </w:rPr>
                    <w:t>4</w:t>
                  </w:r>
                  <w:r>
                    <w:rPr>
                      <w:rFonts w:hint="eastAsia"/>
                      <w:kern w:val="0"/>
                      <w:szCs w:val="21"/>
                    </w:rPr>
                    <w:t>）。对照《国民经济行业分类》（GB</w:t>
                  </w:r>
                  <w:r>
                    <w:rPr>
                      <w:kern w:val="0"/>
                      <w:szCs w:val="21"/>
                    </w:rPr>
                    <w:t>/</w:t>
                  </w:r>
                  <w:r>
                    <w:rPr>
                      <w:rFonts w:hint="eastAsia"/>
                      <w:kern w:val="0"/>
                      <w:szCs w:val="21"/>
                    </w:rPr>
                    <w:t>T</w:t>
                  </w:r>
                  <w:r>
                    <w:rPr>
                      <w:kern w:val="0"/>
                      <w:szCs w:val="21"/>
                    </w:rPr>
                    <w:t xml:space="preserve"> 4754-2017</w:t>
                  </w:r>
                  <w:r>
                    <w:rPr>
                      <w:rFonts w:hint="eastAsia"/>
                      <w:kern w:val="0"/>
                      <w:szCs w:val="21"/>
                    </w:rPr>
                    <w:t xml:space="preserve">），行业分类属 </w:t>
                  </w:r>
                  <w:r>
                    <w:rPr>
                      <w:rFonts w:hint="eastAsia"/>
                      <w:szCs w:val="21"/>
                    </w:rPr>
                    <w:t>C3099 其它非金属矿物制品制造，项目运营期建设单位向周边地区购买建筑施工场地开挖出的砂石含量大于80%的砂石土作为生产原料，项目不单独设置矿权进行土砂石开采。</w:t>
                  </w:r>
                </w:p>
              </w:tc>
              <w:tc>
                <w:tcPr>
                  <w:tcW w:w="783" w:type="dxa"/>
                  <w:vAlign w:val="center"/>
                </w:tcPr>
                <w:p>
                  <w:pPr>
                    <w:autoSpaceDE w:val="0"/>
                    <w:autoSpaceDN w:val="0"/>
                    <w:adjustRightInd w:val="0"/>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78" w:type="dxa"/>
                  <w:vMerge w:val="continue"/>
                  <w:vAlign w:val="center"/>
                </w:tcPr>
                <w:p>
                  <w:pPr>
                    <w:autoSpaceDE w:val="0"/>
                    <w:autoSpaceDN w:val="0"/>
                    <w:adjustRightInd w:val="0"/>
                    <w:snapToGrid w:val="0"/>
                    <w:jc w:val="center"/>
                    <w:rPr>
                      <w:kern w:val="0"/>
                      <w:szCs w:val="21"/>
                    </w:rPr>
                  </w:pPr>
                </w:p>
              </w:tc>
              <w:tc>
                <w:tcPr>
                  <w:tcW w:w="3260" w:type="dxa"/>
                  <w:vAlign w:val="center"/>
                </w:tcPr>
                <w:p>
                  <w:pPr>
                    <w:autoSpaceDE w:val="0"/>
                    <w:autoSpaceDN w:val="0"/>
                    <w:adjustRightInd w:val="0"/>
                    <w:snapToGrid w:val="0"/>
                    <w:rPr>
                      <w:kern w:val="0"/>
                      <w:szCs w:val="21"/>
                    </w:rPr>
                  </w:pPr>
                  <w:r>
                    <w:rPr>
                      <w:rFonts w:hint="eastAsia"/>
                      <w:kern w:val="0"/>
                      <w:szCs w:val="21"/>
                    </w:rPr>
                    <w:t>全州“僵尸企业”基本实现市场出清。煤炭行业低产能企业全面关停，水泥行业实现供需基本平衡，铁合金行业中的低效产能得到全面转型提升，低效产能实现全面出清。</w:t>
                  </w:r>
                </w:p>
              </w:tc>
              <w:tc>
                <w:tcPr>
                  <w:tcW w:w="3260" w:type="dxa"/>
                  <w:vAlign w:val="center"/>
                </w:tcPr>
                <w:p>
                  <w:pPr>
                    <w:autoSpaceDE w:val="0"/>
                    <w:autoSpaceDN w:val="0"/>
                    <w:adjustRightInd w:val="0"/>
                    <w:snapToGrid w:val="0"/>
                    <w:rPr>
                      <w:kern w:val="0"/>
                      <w:szCs w:val="21"/>
                    </w:rPr>
                  </w:pPr>
                  <w:r>
                    <w:rPr>
                      <w:rFonts w:hint="eastAsia"/>
                      <w:kern w:val="0"/>
                      <w:szCs w:val="21"/>
                    </w:rPr>
                    <w:t>本项目为新建项目，对照《国民经济行业分类》（GB</w:t>
                  </w:r>
                  <w:r>
                    <w:rPr>
                      <w:kern w:val="0"/>
                      <w:szCs w:val="21"/>
                    </w:rPr>
                    <w:t>/</w:t>
                  </w:r>
                  <w:r>
                    <w:rPr>
                      <w:rFonts w:hint="eastAsia"/>
                      <w:kern w:val="0"/>
                      <w:szCs w:val="21"/>
                    </w:rPr>
                    <w:t>T</w:t>
                  </w:r>
                  <w:r>
                    <w:rPr>
                      <w:kern w:val="0"/>
                      <w:szCs w:val="21"/>
                    </w:rPr>
                    <w:t xml:space="preserve"> 4754-2017</w:t>
                  </w:r>
                  <w:r>
                    <w:rPr>
                      <w:rFonts w:hint="eastAsia"/>
                      <w:kern w:val="0"/>
                      <w:szCs w:val="21"/>
                    </w:rPr>
                    <w:t xml:space="preserve">），行业分类属 </w:t>
                  </w:r>
                  <w:r>
                    <w:rPr>
                      <w:rFonts w:hint="eastAsia"/>
                      <w:szCs w:val="21"/>
                    </w:rPr>
                    <w:t>C3099 其它非金属矿物制品制造，不属于煤炭、水泥等相关行业。</w:t>
                  </w:r>
                </w:p>
              </w:tc>
              <w:tc>
                <w:tcPr>
                  <w:tcW w:w="783" w:type="dxa"/>
                  <w:vAlign w:val="center"/>
                </w:tcPr>
                <w:p>
                  <w:pPr>
                    <w:autoSpaceDE w:val="0"/>
                    <w:autoSpaceDN w:val="0"/>
                    <w:adjustRightInd w:val="0"/>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8" w:type="dxa"/>
                  <w:vMerge w:val="continue"/>
                  <w:vAlign w:val="center"/>
                </w:tcPr>
                <w:p>
                  <w:pPr>
                    <w:autoSpaceDE w:val="0"/>
                    <w:autoSpaceDN w:val="0"/>
                    <w:adjustRightInd w:val="0"/>
                    <w:snapToGrid w:val="0"/>
                    <w:jc w:val="center"/>
                    <w:rPr>
                      <w:kern w:val="0"/>
                      <w:szCs w:val="21"/>
                    </w:rPr>
                  </w:pPr>
                </w:p>
              </w:tc>
              <w:tc>
                <w:tcPr>
                  <w:tcW w:w="3260" w:type="dxa"/>
                  <w:vAlign w:val="center"/>
                </w:tcPr>
                <w:p>
                  <w:pPr>
                    <w:autoSpaceDE w:val="0"/>
                    <w:autoSpaceDN w:val="0"/>
                    <w:adjustRightInd w:val="0"/>
                    <w:snapToGrid w:val="0"/>
                    <w:rPr>
                      <w:kern w:val="0"/>
                      <w:szCs w:val="21"/>
                    </w:rPr>
                  </w:pPr>
                  <w:r>
                    <w:rPr>
                      <w:rFonts w:hint="eastAsia"/>
                      <w:kern w:val="0"/>
                      <w:szCs w:val="21"/>
                    </w:rPr>
                    <w:t>严格控制畜禽养殖污染，全面依法清理非法网箱网围养殖。</w:t>
                  </w:r>
                </w:p>
              </w:tc>
              <w:tc>
                <w:tcPr>
                  <w:tcW w:w="3260" w:type="dxa"/>
                  <w:vAlign w:val="center"/>
                </w:tcPr>
                <w:p>
                  <w:pPr>
                    <w:autoSpaceDE w:val="0"/>
                    <w:autoSpaceDN w:val="0"/>
                    <w:adjustRightInd w:val="0"/>
                    <w:snapToGrid w:val="0"/>
                    <w:rPr>
                      <w:kern w:val="0"/>
                      <w:szCs w:val="21"/>
                    </w:rPr>
                  </w:pPr>
                  <w:r>
                    <w:rPr>
                      <w:rFonts w:hint="eastAsia"/>
                      <w:kern w:val="0"/>
                      <w:szCs w:val="21"/>
                    </w:rPr>
                    <w:t>对照《国民经济行业分类》（GB</w:t>
                  </w:r>
                  <w:r>
                    <w:rPr>
                      <w:kern w:val="0"/>
                      <w:szCs w:val="21"/>
                    </w:rPr>
                    <w:t>/</w:t>
                  </w:r>
                  <w:r>
                    <w:rPr>
                      <w:rFonts w:hint="eastAsia"/>
                      <w:kern w:val="0"/>
                      <w:szCs w:val="21"/>
                    </w:rPr>
                    <w:t>T</w:t>
                  </w:r>
                  <w:r>
                    <w:rPr>
                      <w:kern w:val="0"/>
                      <w:szCs w:val="21"/>
                    </w:rPr>
                    <w:t xml:space="preserve"> 4754-2017</w:t>
                  </w:r>
                  <w:r>
                    <w:rPr>
                      <w:rFonts w:hint="eastAsia"/>
                      <w:kern w:val="0"/>
                      <w:szCs w:val="21"/>
                    </w:rPr>
                    <w:t xml:space="preserve">），行业分类属 </w:t>
                  </w:r>
                  <w:r>
                    <w:rPr>
                      <w:rFonts w:hint="eastAsia"/>
                      <w:szCs w:val="21"/>
                    </w:rPr>
                    <w:t>C3099 其它非金属矿物制品制造，不涉及畜禽养殖。</w:t>
                  </w:r>
                </w:p>
              </w:tc>
              <w:tc>
                <w:tcPr>
                  <w:tcW w:w="783" w:type="dxa"/>
                  <w:vAlign w:val="center"/>
                </w:tcPr>
                <w:p>
                  <w:pPr>
                    <w:autoSpaceDE w:val="0"/>
                    <w:autoSpaceDN w:val="0"/>
                    <w:adjustRightInd w:val="0"/>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8" w:type="dxa"/>
                  <w:vMerge w:val="continue"/>
                  <w:vAlign w:val="center"/>
                </w:tcPr>
                <w:p>
                  <w:pPr>
                    <w:autoSpaceDE w:val="0"/>
                    <w:autoSpaceDN w:val="0"/>
                    <w:adjustRightInd w:val="0"/>
                    <w:snapToGrid w:val="0"/>
                    <w:jc w:val="center"/>
                    <w:rPr>
                      <w:kern w:val="0"/>
                      <w:szCs w:val="21"/>
                    </w:rPr>
                  </w:pPr>
                </w:p>
              </w:tc>
              <w:tc>
                <w:tcPr>
                  <w:tcW w:w="3260" w:type="dxa"/>
                  <w:vAlign w:val="center"/>
                </w:tcPr>
                <w:p>
                  <w:pPr>
                    <w:autoSpaceDE w:val="0"/>
                    <w:autoSpaceDN w:val="0"/>
                    <w:adjustRightInd w:val="0"/>
                    <w:snapToGrid w:val="0"/>
                    <w:rPr>
                      <w:kern w:val="0"/>
                      <w:szCs w:val="21"/>
                    </w:rPr>
                  </w:pPr>
                  <w:r>
                    <w:rPr>
                      <w:rFonts w:hint="eastAsia"/>
                      <w:kern w:val="0"/>
                      <w:szCs w:val="21"/>
                    </w:rPr>
                    <w:t>全州所有河道采砂实现规范化管理，违法违规河道采砂行为得到全面清理整治。</w:t>
                  </w:r>
                </w:p>
              </w:tc>
              <w:tc>
                <w:tcPr>
                  <w:tcW w:w="3260" w:type="dxa"/>
                  <w:vAlign w:val="center"/>
                </w:tcPr>
                <w:p>
                  <w:pPr>
                    <w:autoSpaceDE w:val="0"/>
                    <w:autoSpaceDN w:val="0"/>
                    <w:adjustRightInd w:val="0"/>
                    <w:snapToGrid w:val="0"/>
                    <w:rPr>
                      <w:kern w:val="0"/>
                      <w:szCs w:val="21"/>
                    </w:rPr>
                  </w:pPr>
                  <w:r>
                    <w:rPr>
                      <w:rFonts w:hint="eastAsia"/>
                      <w:kern w:val="0"/>
                      <w:szCs w:val="21"/>
                    </w:rPr>
                    <w:t>对照《国民经济行业分类》（GB</w:t>
                  </w:r>
                  <w:r>
                    <w:rPr>
                      <w:kern w:val="0"/>
                      <w:szCs w:val="21"/>
                    </w:rPr>
                    <w:t>/</w:t>
                  </w:r>
                  <w:r>
                    <w:rPr>
                      <w:rFonts w:hint="eastAsia"/>
                      <w:kern w:val="0"/>
                      <w:szCs w:val="21"/>
                    </w:rPr>
                    <w:t>T</w:t>
                  </w:r>
                  <w:r>
                    <w:rPr>
                      <w:kern w:val="0"/>
                      <w:szCs w:val="21"/>
                    </w:rPr>
                    <w:t xml:space="preserve"> 4754-2017</w:t>
                  </w:r>
                  <w:r>
                    <w:rPr>
                      <w:rFonts w:hint="eastAsia"/>
                      <w:kern w:val="0"/>
                      <w:szCs w:val="21"/>
                    </w:rPr>
                    <w:t xml:space="preserve">），行业分类属 </w:t>
                  </w:r>
                  <w:r>
                    <w:rPr>
                      <w:rFonts w:hint="eastAsia"/>
                      <w:szCs w:val="21"/>
                    </w:rPr>
                    <w:t>C3099 其它非金属矿物制品制造，项目运营期建设单位向周边地区购买建筑施工场地开挖出的砂石含量大于80%的砂石土作为生产原料，项目不单独设置矿权进行土砂石开采。</w:t>
                  </w:r>
                </w:p>
              </w:tc>
              <w:tc>
                <w:tcPr>
                  <w:tcW w:w="783" w:type="dxa"/>
                  <w:vAlign w:val="center"/>
                </w:tcPr>
                <w:p>
                  <w:pPr>
                    <w:autoSpaceDE w:val="0"/>
                    <w:autoSpaceDN w:val="0"/>
                    <w:adjustRightInd w:val="0"/>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8" w:type="dxa"/>
                  <w:vMerge w:val="continue"/>
                  <w:vAlign w:val="center"/>
                </w:tcPr>
                <w:p>
                  <w:pPr>
                    <w:autoSpaceDE w:val="0"/>
                    <w:autoSpaceDN w:val="0"/>
                    <w:adjustRightInd w:val="0"/>
                    <w:snapToGrid w:val="0"/>
                    <w:jc w:val="center"/>
                    <w:rPr>
                      <w:kern w:val="0"/>
                      <w:szCs w:val="21"/>
                    </w:rPr>
                  </w:pPr>
                </w:p>
              </w:tc>
              <w:tc>
                <w:tcPr>
                  <w:tcW w:w="3260" w:type="dxa"/>
                  <w:vAlign w:val="center"/>
                </w:tcPr>
                <w:p>
                  <w:pPr>
                    <w:autoSpaceDE w:val="0"/>
                    <w:autoSpaceDN w:val="0"/>
                    <w:adjustRightInd w:val="0"/>
                    <w:snapToGrid w:val="0"/>
                    <w:rPr>
                      <w:kern w:val="0"/>
                      <w:szCs w:val="21"/>
                    </w:rPr>
                  </w:pPr>
                  <w:r>
                    <w:rPr>
                      <w:rFonts w:hint="eastAsia"/>
                      <w:kern w:val="0"/>
                      <w:szCs w:val="21"/>
                    </w:rPr>
                    <w:t>禁渔期内，金沙江和澜沧江流域重点水域干流和支流实现全年生产性禁捕。</w:t>
                  </w:r>
                </w:p>
              </w:tc>
              <w:tc>
                <w:tcPr>
                  <w:tcW w:w="3260" w:type="dxa"/>
                  <w:vAlign w:val="center"/>
                </w:tcPr>
                <w:p>
                  <w:pPr>
                    <w:autoSpaceDE w:val="0"/>
                    <w:autoSpaceDN w:val="0"/>
                    <w:adjustRightInd w:val="0"/>
                    <w:snapToGrid w:val="0"/>
                    <w:rPr>
                      <w:kern w:val="0"/>
                      <w:szCs w:val="21"/>
                    </w:rPr>
                  </w:pPr>
                  <w:r>
                    <w:rPr>
                      <w:rFonts w:hint="eastAsia"/>
                      <w:kern w:val="0"/>
                      <w:szCs w:val="21"/>
                    </w:rPr>
                    <w:t>本项目不涉及。</w:t>
                  </w:r>
                </w:p>
              </w:tc>
              <w:tc>
                <w:tcPr>
                  <w:tcW w:w="783" w:type="dxa"/>
                  <w:vAlign w:val="center"/>
                </w:tcPr>
                <w:p>
                  <w:pPr>
                    <w:autoSpaceDE w:val="0"/>
                    <w:autoSpaceDN w:val="0"/>
                    <w:adjustRightInd w:val="0"/>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78" w:type="dxa"/>
                  <w:vMerge w:val="continue"/>
                  <w:vAlign w:val="center"/>
                </w:tcPr>
                <w:p>
                  <w:pPr>
                    <w:autoSpaceDE w:val="0"/>
                    <w:autoSpaceDN w:val="0"/>
                    <w:adjustRightInd w:val="0"/>
                    <w:snapToGrid w:val="0"/>
                    <w:jc w:val="center"/>
                    <w:rPr>
                      <w:kern w:val="0"/>
                      <w:szCs w:val="21"/>
                    </w:rPr>
                  </w:pPr>
                </w:p>
              </w:tc>
              <w:tc>
                <w:tcPr>
                  <w:tcW w:w="3260" w:type="dxa"/>
                  <w:vAlign w:val="center"/>
                </w:tcPr>
                <w:p>
                  <w:pPr>
                    <w:autoSpaceDE w:val="0"/>
                    <w:autoSpaceDN w:val="0"/>
                    <w:adjustRightInd w:val="0"/>
                    <w:snapToGrid w:val="0"/>
                    <w:rPr>
                      <w:kern w:val="0"/>
                      <w:szCs w:val="21"/>
                    </w:rPr>
                  </w:pPr>
                  <w:r>
                    <w:rPr>
                      <w:rFonts w:hint="eastAsia"/>
                      <w:kern w:val="0"/>
                      <w:szCs w:val="21"/>
                    </w:rPr>
                    <w:t>完成全州各县市城市建成区散乱污整治工作，重污染企业搬迁改造或关闭退出，在全州县市区政府所在地城市建成区及周边不再审批水泥、平板玻璃、焦化、化工、有色、钢铁等重污染行业。</w:t>
                  </w:r>
                </w:p>
              </w:tc>
              <w:tc>
                <w:tcPr>
                  <w:tcW w:w="3260" w:type="dxa"/>
                  <w:vMerge w:val="restart"/>
                  <w:vAlign w:val="center"/>
                </w:tcPr>
                <w:p>
                  <w:pPr>
                    <w:autoSpaceDE w:val="0"/>
                    <w:autoSpaceDN w:val="0"/>
                    <w:adjustRightInd w:val="0"/>
                    <w:snapToGrid w:val="0"/>
                    <w:rPr>
                      <w:kern w:val="0"/>
                      <w:szCs w:val="21"/>
                    </w:rPr>
                  </w:pPr>
                  <w:r>
                    <w:rPr>
                      <w:rFonts w:hint="eastAsia"/>
                      <w:kern w:val="0"/>
                      <w:szCs w:val="21"/>
                    </w:rPr>
                    <w:t>项目厂址位于维西傈僳族自治县白济汛乡下笼嘎，不占压基本农田及维西县生态保护红线（详见</w:t>
                  </w:r>
                  <w:r>
                    <w:rPr>
                      <w:rFonts w:hint="eastAsia"/>
                      <w:b/>
                      <w:kern w:val="0"/>
                      <w:szCs w:val="21"/>
                      <w:u w:val="single"/>
                    </w:rPr>
                    <w:t>附件</w:t>
                  </w:r>
                  <w:r>
                    <w:rPr>
                      <w:b/>
                      <w:kern w:val="0"/>
                      <w:szCs w:val="21"/>
                      <w:u w:val="single"/>
                    </w:rPr>
                    <w:t>4</w:t>
                  </w:r>
                  <w:r>
                    <w:rPr>
                      <w:rFonts w:hint="eastAsia"/>
                      <w:kern w:val="0"/>
                      <w:szCs w:val="21"/>
                    </w:rPr>
                    <w:t>）。对照《国民经济行业分类》（GB</w:t>
                  </w:r>
                  <w:r>
                    <w:rPr>
                      <w:kern w:val="0"/>
                      <w:szCs w:val="21"/>
                    </w:rPr>
                    <w:t>/</w:t>
                  </w:r>
                  <w:r>
                    <w:rPr>
                      <w:rFonts w:hint="eastAsia"/>
                      <w:kern w:val="0"/>
                      <w:szCs w:val="21"/>
                    </w:rPr>
                    <w:t>T</w:t>
                  </w:r>
                  <w:r>
                    <w:rPr>
                      <w:kern w:val="0"/>
                      <w:szCs w:val="21"/>
                    </w:rPr>
                    <w:t xml:space="preserve"> 4754-2017</w:t>
                  </w:r>
                  <w:r>
                    <w:rPr>
                      <w:rFonts w:hint="eastAsia"/>
                      <w:kern w:val="0"/>
                      <w:szCs w:val="21"/>
                    </w:rPr>
                    <w:t xml:space="preserve">），行业分类属 </w:t>
                  </w:r>
                  <w:r>
                    <w:rPr>
                      <w:rFonts w:hint="eastAsia"/>
                      <w:szCs w:val="21"/>
                    </w:rPr>
                    <w:t>C3099 其它非金属矿物制品制造，不属于</w:t>
                  </w:r>
                  <w:r>
                    <w:rPr>
                      <w:rFonts w:hint="eastAsia"/>
                      <w:kern w:val="0"/>
                      <w:szCs w:val="21"/>
                    </w:rPr>
                    <w:t>水泥、平板玻璃、焦化、化工、有色、钢铁等重污染行业。</w:t>
                  </w:r>
                </w:p>
              </w:tc>
              <w:tc>
                <w:tcPr>
                  <w:tcW w:w="783" w:type="dxa"/>
                  <w:vAlign w:val="center"/>
                </w:tcPr>
                <w:p>
                  <w:pPr>
                    <w:autoSpaceDE w:val="0"/>
                    <w:autoSpaceDN w:val="0"/>
                    <w:adjustRightInd w:val="0"/>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8" w:type="dxa"/>
                  <w:vMerge w:val="continue"/>
                  <w:vAlign w:val="center"/>
                </w:tcPr>
                <w:p>
                  <w:pPr>
                    <w:autoSpaceDE w:val="0"/>
                    <w:autoSpaceDN w:val="0"/>
                    <w:adjustRightInd w:val="0"/>
                    <w:snapToGrid w:val="0"/>
                    <w:jc w:val="center"/>
                    <w:rPr>
                      <w:kern w:val="0"/>
                      <w:szCs w:val="21"/>
                    </w:rPr>
                  </w:pPr>
                </w:p>
              </w:tc>
              <w:tc>
                <w:tcPr>
                  <w:tcW w:w="3260" w:type="dxa"/>
                  <w:vAlign w:val="center"/>
                </w:tcPr>
                <w:p>
                  <w:pPr>
                    <w:autoSpaceDE w:val="0"/>
                    <w:autoSpaceDN w:val="0"/>
                    <w:adjustRightInd w:val="0"/>
                    <w:snapToGrid w:val="0"/>
                    <w:rPr>
                      <w:kern w:val="0"/>
                      <w:szCs w:val="21"/>
                    </w:rPr>
                  </w:pPr>
                  <w:r>
                    <w:rPr>
                      <w:rFonts w:hint="eastAsia"/>
                      <w:kern w:val="0"/>
                      <w:szCs w:val="21"/>
                    </w:rPr>
                    <w:t>严格执行水泥、平板玻璃、钢铁等产能置换实施办法，严防“地条钢”行业落地迪庆州；列入去产能计划的钢铁企业，需一并退出配套的烧结、焦炉、高炉等设备。</w:t>
                  </w:r>
                </w:p>
              </w:tc>
              <w:tc>
                <w:tcPr>
                  <w:tcW w:w="3260" w:type="dxa"/>
                  <w:vMerge w:val="continue"/>
                  <w:vAlign w:val="center"/>
                </w:tcPr>
                <w:p>
                  <w:pPr>
                    <w:autoSpaceDE w:val="0"/>
                    <w:autoSpaceDN w:val="0"/>
                    <w:adjustRightInd w:val="0"/>
                    <w:snapToGrid w:val="0"/>
                    <w:rPr>
                      <w:kern w:val="0"/>
                      <w:szCs w:val="21"/>
                    </w:rPr>
                  </w:pPr>
                </w:p>
              </w:tc>
              <w:tc>
                <w:tcPr>
                  <w:tcW w:w="783" w:type="dxa"/>
                  <w:vAlign w:val="center"/>
                </w:tcPr>
                <w:p>
                  <w:pPr>
                    <w:autoSpaceDE w:val="0"/>
                    <w:autoSpaceDN w:val="0"/>
                    <w:adjustRightInd w:val="0"/>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8" w:type="dxa"/>
                  <w:vMerge w:val="continue"/>
                  <w:vAlign w:val="center"/>
                </w:tcPr>
                <w:p>
                  <w:pPr>
                    <w:autoSpaceDE w:val="0"/>
                    <w:autoSpaceDN w:val="0"/>
                    <w:adjustRightInd w:val="0"/>
                    <w:snapToGrid w:val="0"/>
                    <w:jc w:val="center"/>
                    <w:rPr>
                      <w:kern w:val="0"/>
                      <w:szCs w:val="21"/>
                    </w:rPr>
                  </w:pPr>
                </w:p>
              </w:tc>
              <w:tc>
                <w:tcPr>
                  <w:tcW w:w="3260" w:type="dxa"/>
                  <w:vAlign w:val="center"/>
                </w:tcPr>
                <w:p>
                  <w:pPr>
                    <w:autoSpaceDE w:val="0"/>
                    <w:autoSpaceDN w:val="0"/>
                    <w:adjustRightInd w:val="0"/>
                    <w:snapToGrid w:val="0"/>
                    <w:rPr>
                      <w:kern w:val="0"/>
                      <w:szCs w:val="21"/>
                    </w:rPr>
                  </w:pPr>
                  <w:r>
                    <w:rPr>
                      <w:rFonts w:hint="eastAsia"/>
                      <w:kern w:val="0"/>
                      <w:szCs w:val="21"/>
                    </w:rPr>
                    <w:t>禁止在长江和澜沧江流域重点生态功能区布局对生态系统有严重影响的产业。禁止重污染企业和项目落户迪庆。</w:t>
                  </w:r>
                </w:p>
              </w:tc>
              <w:tc>
                <w:tcPr>
                  <w:tcW w:w="3260" w:type="dxa"/>
                  <w:vMerge w:val="continue"/>
                  <w:vAlign w:val="center"/>
                </w:tcPr>
                <w:p>
                  <w:pPr>
                    <w:autoSpaceDE w:val="0"/>
                    <w:autoSpaceDN w:val="0"/>
                    <w:adjustRightInd w:val="0"/>
                    <w:snapToGrid w:val="0"/>
                    <w:rPr>
                      <w:kern w:val="0"/>
                      <w:szCs w:val="21"/>
                    </w:rPr>
                  </w:pPr>
                </w:p>
              </w:tc>
              <w:tc>
                <w:tcPr>
                  <w:tcW w:w="783" w:type="dxa"/>
                  <w:vAlign w:val="center"/>
                </w:tcPr>
                <w:p>
                  <w:pPr>
                    <w:autoSpaceDE w:val="0"/>
                    <w:autoSpaceDN w:val="0"/>
                    <w:adjustRightInd w:val="0"/>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8" w:type="dxa"/>
                  <w:vMerge w:val="continue"/>
                  <w:vAlign w:val="center"/>
                </w:tcPr>
                <w:p>
                  <w:pPr>
                    <w:autoSpaceDE w:val="0"/>
                    <w:autoSpaceDN w:val="0"/>
                    <w:adjustRightInd w:val="0"/>
                    <w:snapToGrid w:val="0"/>
                    <w:jc w:val="center"/>
                    <w:rPr>
                      <w:kern w:val="0"/>
                      <w:szCs w:val="21"/>
                    </w:rPr>
                  </w:pPr>
                </w:p>
              </w:tc>
              <w:tc>
                <w:tcPr>
                  <w:tcW w:w="3260" w:type="dxa"/>
                  <w:vAlign w:val="center"/>
                </w:tcPr>
                <w:p>
                  <w:pPr>
                    <w:autoSpaceDE w:val="0"/>
                    <w:autoSpaceDN w:val="0"/>
                    <w:adjustRightInd w:val="0"/>
                    <w:snapToGrid w:val="0"/>
                    <w:rPr>
                      <w:kern w:val="0"/>
                      <w:szCs w:val="21"/>
                    </w:rPr>
                  </w:pPr>
                  <w:r>
                    <w:rPr>
                      <w:rFonts w:hint="eastAsia"/>
                      <w:kern w:val="0"/>
                      <w:szCs w:val="21"/>
                    </w:rPr>
                    <w:t>因国家发展战略和民生需要，在长江流域新建大中型水电工程和重大资源开发项目，应当经科学论证，并逐级申报批准。</w:t>
                  </w:r>
                </w:p>
              </w:tc>
              <w:tc>
                <w:tcPr>
                  <w:tcW w:w="3260" w:type="dxa"/>
                  <w:vAlign w:val="center"/>
                </w:tcPr>
                <w:p>
                  <w:pPr>
                    <w:autoSpaceDE w:val="0"/>
                    <w:autoSpaceDN w:val="0"/>
                    <w:adjustRightInd w:val="0"/>
                    <w:snapToGrid w:val="0"/>
                    <w:rPr>
                      <w:kern w:val="0"/>
                      <w:szCs w:val="21"/>
                    </w:rPr>
                  </w:pPr>
                  <w:r>
                    <w:rPr>
                      <w:rFonts w:hint="eastAsia"/>
                      <w:kern w:val="0"/>
                      <w:szCs w:val="21"/>
                    </w:rPr>
                    <w:t>对照《国民经济行业分类》（GB</w:t>
                  </w:r>
                  <w:r>
                    <w:rPr>
                      <w:kern w:val="0"/>
                      <w:szCs w:val="21"/>
                    </w:rPr>
                    <w:t>/</w:t>
                  </w:r>
                  <w:r>
                    <w:rPr>
                      <w:rFonts w:hint="eastAsia"/>
                      <w:kern w:val="0"/>
                      <w:szCs w:val="21"/>
                    </w:rPr>
                    <w:t>T</w:t>
                  </w:r>
                  <w:r>
                    <w:rPr>
                      <w:kern w:val="0"/>
                      <w:szCs w:val="21"/>
                    </w:rPr>
                    <w:t xml:space="preserve"> 4754-2017</w:t>
                  </w:r>
                  <w:r>
                    <w:rPr>
                      <w:rFonts w:hint="eastAsia"/>
                      <w:kern w:val="0"/>
                      <w:szCs w:val="21"/>
                    </w:rPr>
                    <w:t xml:space="preserve">），本项目行业分类属 </w:t>
                  </w:r>
                  <w:r>
                    <w:rPr>
                      <w:rFonts w:hint="eastAsia"/>
                      <w:szCs w:val="21"/>
                    </w:rPr>
                    <w:t>C3099 其它非金属矿物制品制造，不属于</w:t>
                  </w:r>
                  <w:r>
                    <w:rPr>
                      <w:rFonts w:hint="eastAsia"/>
                      <w:kern w:val="0"/>
                      <w:szCs w:val="21"/>
                    </w:rPr>
                    <w:t>大中型水电工程和重大资源开发项目。</w:t>
                  </w:r>
                </w:p>
              </w:tc>
              <w:tc>
                <w:tcPr>
                  <w:tcW w:w="783" w:type="dxa"/>
                  <w:vAlign w:val="center"/>
                </w:tcPr>
                <w:p>
                  <w:pPr>
                    <w:autoSpaceDE w:val="0"/>
                    <w:autoSpaceDN w:val="0"/>
                    <w:adjustRightInd w:val="0"/>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78" w:type="dxa"/>
                  <w:vMerge w:val="continue"/>
                  <w:vAlign w:val="center"/>
                </w:tcPr>
                <w:p>
                  <w:pPr>
                    <w:autoSpaceDE w:val="0"/>
                    <w:autoSpaceDN w:val="0"/>
                    <w:adjustRightInd w:val="0"/>
                    <w:snapToGrid w:val="0"/>
                    <w:jc w:val="center"/>
                    <w:rPr>
                      <w:kern w:val="0"/>
                      <w:szCs w:val="21"/>
                    </w:rPr>
                  </w:pPr>
                </w:p>
              </w:tc>
              <w:tc>
                <w:tcPr>
                  <w:tcW w:w="3260" w:type="dxa"/>
                  <w:vAlign w:val="center"/>
                </w:tcPr>
                <w:p>
                  <w:pPr>
                    <w:autoSpaceDE w:val="0"/>
                    <w:autoSpaceDN w:val="0"/>
                    <w:adjustRightInd w:val="0"/>
                    <w:snapToGrid w:val="0"/>
                    <w:rPr>
                      <w:kern w:val="0"/>
                      <w:szCs w:val="21"/>
                    </w:rPr>
                  </w:pPr>
                  <w:r>
                    <w:rPr>
                      <w:rFonts w:hint="eastAsia"/>
                      <w:kern w:val="0"/>
                      <w:szCs w:val="21"/>
                    </w:rPr>
                    <w:t>对长江和澜沧江流域已建小水电工程，按照中小水电站清理整治工作要求认真加以落实。</w:t>
                  </w:r>
                </w:p>
              </w:tc>
              <w:tc>
                <w:tcPr>
                  <w:tcW w:w="3260" w:type="dxa"/>
                  <w:vAlign w:val="center"/>
                </w:tcPr>
                <w:p>
                  <w:pPr>
                    <w:autoSpaceDE w:val="0"/>
                    <w:autoSpaceDN w:val="0"/>
                    <w:adjustRightInd w:val="0"/>
                    <w:snapToGrid w:val="0"/>
                    <w:rPr>
                      <w:kern w:val="0"/>
                      <w:szCs w:val="21"/>
                    </w:rPr>
                  </w:pPr>
                  <w:r>
                    <w:rPr>
                      <w:rFonts w:hint="eastAsia"/>
                      <w:kern w:val="0"/>
                      <w:szCs w:val="21"/>
                    </w:rPr>
                    <w:t>对照《国民经济行业分类》（GB</w:t>
                  </w:r>
                  <w:r>
                    <w:rPr>
                      <w:kern w:val="0"/>
                      <w:szCs w:val="21"/>
                    </w:rPr>
                    <w:t>/</w:t>
                  </w:r>
                  <w:r>
                    <w:rPr>
                      <w:rFonts w:hint="eastAsia"/>
                      <w:kern w:val="0"/>
                      <w:szCs w:val="21"/>
                    </w:rPr>
                    <w:t>T</w:t>
                  </w:r>
                  <w:r>
                    <w:rPr>
                      <w:kern w:val="0"/>
                      <w:szCs w:val="21"/>
                    </w:rPr>
                    <w:t xml:space="preserve"> 4754-2017</w:t>
                  </w:r>
                  <w:r>
                    <w:rPr>
                      <w:rFonts w:hint="eastAsia"/>
                      <w:kern w:val="0"/>
                      <w:szCs w:val="21"/>
                    </w:rPr>
                    <w:t xml:space="preserve">），本项目行业分类属 </w:t>
                  </w:r>
                  <w:r>
                    <w:rPr>
                      <w:rFonts w:hint="eastAsia"/>
                      <w:szCs w:val="21"/>
                    </w:rPr>
                    <w:t>C3099 其它非金属矿物制品制造，不属于水电类建设项目。</w:t>
                  </w:r>
                </w:p>
              </w:tc>
              <w:tc>
                <w:tcPr>
                  <w:tcW w:w="783" w:type="dxa"/>
                  <w:vAlign w:val="center"/>
                </w:tcPr>
                <w:p>
                  <w:pPr>
                    <w:autoSpaceDE w:val="0"/>
                    <w:autoSpaceDN w:val="0"/>
                    <w:adjustRightInd w:val="0"/>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8" w:type="dxa"/>
                  <w:vMerge w:val="continue"/>
                  <w:vAlign w:val="center"/>
                </w:tcPr>
                <w:p>
                  <w:pPr>
                    <w:autoSpaceDE w:val="0"/>
                    <w:autoSpaceDN w:val="0"/>
                    <w:adjustRightInd w:val="0"/>
                    <w:snapToGrid w:val="0"/>
                    <w:jc w:val="center"/>
                    <w:rPr>
                      <w:kern w:val="0"/>
                      <w:szCs w:val="21"/>
                    </w:rPr>
                  </w:pPr>
                </w:p>
              </w:tc>
              <w:tc>
                <w:tcPr>
                  <w:tcW w:w="3260" w:type="dxa"/>
                  <w:vAlign w:val="center"/>
                </w:tcPr>
                <w:p>
                  <w:pPr>
                    <w:autoSpaceDE w:val="0"/>
                    <w:autoSpaceDN w:val="0"/>
                    <w:adjustRightInd w:val="0"/>
                    <w:snapToGrid w:val="0"/>
                    <w:rPr>
                      <w:kern w:val="0"/>
                      <w:szCs w:val="21"/>
                    </w:rPr>
                  </w:pPr>
                  <w:r>
                    <w:rPr>
                      <w:rFonts w:hint="eastAsia"/>
                      <w:kern w:val="0"/>
                      <w:szCs w:val="21"/>
                    </w:rPr>
                    <w:t>县市（区）人民政府负责实行河湖长制，明确责任，划定河道、湖泊管理范围，并向社会公告，实行严格的河湖保护，禁止非法侵占河湖水域。</w:t>
                  </w:r>
                </w:p>
              </w:tc>
              <w:tc>
                <w:tcPr>
                  <w:tcW w:w="3260" w:type="dxa"/>
                  <w:vAlign w:val="center"/>
                </w:tcPr>
                <w:p>
                  <w:pPr>
                    <w:autoSpaceDE w:val="0"/>
                    <w:autoSpaceDN w:val="0"/>
                    <w:adjustRightInd w:val="0"/>
                    <w:snapToGrid w:val="0"/>
                    <w:rPr>
                      <w:kern w:val="0"/>
                      <w:szCs w:val="21"/>
                    </w:rPr>
                  </w:pPr>
                  <w:r>
                    <w:rPr>
                      <w:rFonts w:hint="eastAsia"/>
                      <w:kern w:val="0"/>
                      <w:szCs w:val="21"/>
                    </w:rPr>
                    <w:t>项目厂址位于维西傈僳族自治县白济汛乡下笼嘎，项目建设不存在非法侵占河湖水域行为。</w:t>
                  </w:r>
                </w:p>
              </w:tc>
              <w:tc>
                <w:tcPr>
                  <w:tcW w:w="783" w:type="dxa"/>
                  <w:vAlign w:val="center"/>
                </w:tcPr>
                <w:p>
                  <w:pPr>
                    <w:autoSpaceDE w:val="0"/>
                    <w:autoSpaceDN w:val="0"/>
                    <w:adjustRightInd w:val="0"/>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8" w:type="dxa"/>
                  <w:vMerge w:val="continue"/>
                  <w:vAlign w:val="center"/>
                </w:tcPr>
                <w:p>
                  <w:pPr>
                    <w:autoSpaceDE w:val="0"/>
                    <w:autoSpaceDN w:val="0"/>
                    <w:adjustRightInd w:val="0"/>
                    <w:snapToGrid w:val="0"/>
                    <w:jc w:val="center"/>
                    <w:rPr>
                      <w:kern w:val="0"/>
                      <w:szCs w:val="21"/>
                    </w:rPr>
                  </w:pPr>
                </w:p>
              </w:tc>
              <w:tc>
                <w:tcPr>
                  <w:tcW w:w="3260" w:type="dxa"/>
                  <w:vAlign w:val="center"/>
                </w:tcPr>
                <w:p>
                  <w:pPr>
                    <w:autoSpaceDE w:val="0"/>
                    <w:autoSpaceDN w:val="0"/>
                    <w:adjustRightInd w:val="0"/>
                    <w:snapToGrid w:val="0"/>
                    <w:rPr>
                      <w:kern w:val="0"/>
                      <w:szCs w:val="21"/>
                    </w:rPr>
                  </w:pPr>
                  <w:r>
                    <w:rPr>
                      <w:rFonts w:hint="eastAsia"/>
                      <w:kern w:val="0"/>
                      <w:szCs w:val="21"/>
                    </w:rPr>
                    <w:t>禁止在长江千支流岸线一公里范围内新建、扩建化工园区和化工项目。</w:t>
                  </w:r>
                </w:p>
              </w:tc>
              <w:tc>
                <w:tcPr>
                  <w:tcW w:w="3260" w:type="dxa"/>
                  <w:vAlign w:val="center"/>
                </w:tcPr>
                <w:p>
                  <w:pPr>
                    <w:autoSpaceDE w:val="0"/>
                    <w:autoSpaceDN w:val="0"/>
                    <w:adjustRightInd w:val="0"/>
                    <w:snapToGrid w:val="0"/>
                    <w:rPr>
                      <w:kern w:val="0"/>
                      <w:szCs w:val="21"/>
                    </w:rPr>
                  </w:pPr>
                  <w:r>
                    <w:rPr>
                      <w:rFonts w:hint="eastAsia"/>
                      <w:kern w:val="0"/>
                      <w:szCs w:val="21"/>
                    </w:rPr>
                    <w:t>对照《国民经济行业分类》（GB</w:t>
                  </w:r>
                  <w:r>
                    <w:rPr>
                      <w:kern w:val="0"/>
                      <w:szCs w:val="21"/>
                    </w:rPr>
                    <w:t>/</w:t>
                  </w:r>
                  <w:r>
                    <w:rPr>
                      <w:rFonts w:hint="eastAsia"/>
                      <w:kern w:val="0"/>
                      <w:szCs w:val="21"/>
                    </w:rPr>
                    <w:t>T</w:t>
                  </w:r>
                  <w:r>
                    <w:rPr>
                      <w:kern w:val="0"/>
                      <w:szCs w:val="21"/>
                    </w:rPr>
                    <w:t xml:space="preserve"> 4754-2017</w:t>
                  </w:r>
                  <w:r>
                    <w:rPr>
                      <w:rFonts w:hint="eastAsia"/>
                      <w:kern w:val="0"/>
                      <w:szCs w:val="21"/>
                    </w:rPr>
                    <w:t xml:space="preserve">），本项目行业分类属 </w:t>
                  </w:r>
                  <w:r>
                    <w:rPr>
                      <w:rFonts w:hint="eastAsia"/>
                      <w:szCs w:val="21"/>
                    </w:rPr>
                    <w:t>C3099 其它非金属矿物制品制造，不属于化工类项目。</w:t>
                  </w:r>
                </w:p>
              </w:tc>
              <w:tc>
                <w:tcPr>
                  <w:tcW w:w="783" w:type="dxa"/>
                  <w:vAlign w:val="center"/>
                </w:tcPr>
                <w:p>
                  <w:pPr>
                    <w:autoSpaceDE w:val="0"/>
                    <w:autoSpaceDN w:val="0"/>
                    <w:adjustRightInd w:val="0"/>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8" w:type="dxa"/>
                  <w:vMerge w:val="continue"/>
                  <w:vAlign w:val="center"/>
                </w:tcPr>
                <w:p>
                  <w:pPr>
                    <w:autoSpaceDE w:val="0"/>
                    <w:autoSpaceDN w:val="0"/>
                    <w:adjustRightInd w:val="0"/>
                    <w:snapToGrid w:val="0"/>
                    <w:jc w:val="center"/>
                    <w:rPr>
                      <w:kern w:val="0"/>
                      <w:szCs w:val="21"/>
                    </w:rPr>
                  </w:pPr>
                </w:p>
              </w:tc>
              <w:tc>
                <w:tcPr>
                  <w:tcW w:w="3260" w:type="dxa"/>
                  <w:vAlign w:val="center"/>
                </w:tcPr>
                <w:p>
                  <w:pPr>
                    <w:autoSpaceDE w:val="0"/>
                    <w:autoSpaceDN w:val="0"/>
                    <w:adjustRightInd w:val="0"/>
                    <w:snapToGrid w:val="0"/>
                    <w:rPr>
                      <w:kern w:val="0"/>
                      <w:szCs w:val="21"/>
                    </w:rPr>
                  </w:pPr>
                  <w:r>
                    <w:rPr>
                      <w:rFonts w:hint="eastAsia"/>
                      <w:kern w:val="0"/>
                      <w:szCs w:val="21"/>
                    </w:rPr>
                    <w:t>县级以上地方人民政府依法划定禁止采砂区和禁止采砂期，严格控制采砂区域、采砂总量和采砂区域内的采砂船舶数量。禁止在长江流域禁止采砂区和禁止采砂期从事采砂活动。</w:t>
                  </w:r>
                </w:p>
              </w:tc>
              <w:tc>
                <w:tcPr>
                  <w:tcW w:w="3260" w:type="dxa"/>
                  <w:vAlign w:val="center"/>
                </w:tcPr>
                <w:p>
                  <w:pPr>
                    <w:autoSpaceDE w:val="0"/>
                    <w:autoSpaceDN w:val="0"/>
                    <w:adjustRightInd w:val="0"/>
                    <w:snapToGrid w:val="0"/>
                    <w:rPr>
                      <w:kern w:val="0"/>
                      <w:szCs w:val="21"/>
                    </w:rPr>
                  </w:pPr>
                  <w:r>
                    <w:rPr>
                      <w:rFonts w:hint="eastAsia"/>
                      <w:szCs w:val="21"/>
                    </w:rPr>
                    <w:t>项目运营期建设单位向周边地区购买建筑施工场地开挖出的砂石含量大于80%的砂石土作为生产原料，项目不单独设置矿权进行土砂石开采。</w:t>
                  </w:r>
                </w:p>
              </w:tc>
              <w:tc>
                <w:tcPr>
                  <w:tcW w:w="783" w:type="dxa"/>
                  <w:vAlign w:val="center"/>
                </w:tcPr>
                <w:p>
                  <w:pPr>
                    <w:autoSpaceDE w:val="0"/>
                    <w:autoSpaceDN w:val="0"/>
                    <w:adjustRightInd w:val="0"/>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78" w:type="dxa"/>
                  <w:vMerge w:val="continue"/>
                  <w:vAlign w:val="center"/>
                </w:tcPr>
                <w:p>
                  <w:pPr>
                    <w:autoSpaceDE w:val="0"/>
                    <w:autoSpaceDN w:val="0"/>
                    <w:adjustRightInd w:val="0"/>
                    <w:snapToGrid w:val="0"/>
                    <w:jc w:val="center"/>
                    <w:rPr>
                      <w:kern w:val="0"/>
                      <w:szCs w:val="21"/>
                    </w:rPr>
                  </w:pPr>
                </w:p>
              </w:tc>
              <w:tc>
                <w:tcPr>
                  <w:tcW w:w="3260" w:type="dxa"/>
                  <w:vAlign w:val="center"/>
                </w:tcPr>
                <w:p>
                  <w:pPr>
                    <w:autoSpaceDE w:val="0"/>
                    <w:autoSpaceDN w:val="0"/>
                    <w:adjustRightInd w:val="0"/>
                    <w:snapToGrid w:val="0"/>
                    <w:rPr>
                      <w:kern w:val="0"/>
                      <w:szCs w:val="21"/>
                    </w:rPr>
                  </w:pPr>
                  <w:r>
                    <w:rPr>
                      <w:rFonts w:hint="eastAsia"/>
                      <w:kern w:val="0"/>
                      <w:szCs w:val="21"/>
                    </w:rPr>
                    <w:t>禁止违法利用、占用长江流域河湖岸线。</w:t>
                  </w:r>
                </w:p>
              </w:tc>
              <w:tc>
                <w:tcPr>
                  <w:tcW w:w="3260" w:type="dxa"/>
                  <w:vAlign w:val="center"/>
                </w:tcPr>
                <w:p>
                  <w:pPr>
                    <w:autoSpaceDE w:val="0"/>
                    <w:autoSpaceDN w:val="0"/>
                    <w:adjustRightInd w:val="0"/>
                    <w:snapToGrid w:val="0"/>
                    <w:rPr>
                      <w:kern w:val="0"/>
                      <w:szCs w:val="21"/>
                    </w:rPr>
                  </w:pPr>
                  <w:r>
                    <w:rPr>
                      <w:rFonts w:hint="eastAsia"/>
                      <w:kern w:val="0"/>
                      <w:szCs w:val="21"/>
                    </w:rPr>
                    <w:t>项目厂址位于维西傈僳族自治县白济汛乡下笼嘎，项目建设不存在违法利用、占用长江流域河湖岸线。</w:t>
                  </w:r>
                </w:p>
              </w:tc>
              <w:tc>
                <w:tcPr>
                  <w:tcW w:w="783" w:type="dxa"/>
                  <w:vAlign w:val="center"/>
                </w:tcPr>
                <w:p>
                  <w:pPr>
                    <w:autoSpaceDE w:val="0"/>
                    <w:autoSpaceDN w:val="0"/>
                    <w:adjustRightInd w:val="0"/>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8" w:type="dxa"/>
                  <w:vMerge w:val="continue"/>
                  <w:vAlign w:val="center"/>
                </w:tcPr>
                <w:p>
                  <w:pPr>
                    <w:autoSpaceDE w:val="0"/>
                    <w:autoSpaceDN w:val="0"/>
                    <w:adjustRightInd w:val="0"/>
                    <w:snapToGrid w:val="0"/>
                    <w:jc w:val="center"/>
                    <w:rPr>
                      <w:kern w:val="0"/>
                      <w:szCs w:val="21"/>
                    </w:rPr>
                  </w:pPr>
                </w:p>
              </w:tc>
              <w:tc>
                <w:tcPr>
                  <w:tcW w:w="3260" w:type="dxa"/>
                  <w:vAlign w:val="center"/>
                </w:tcPr>
                <w:p>
                  <w:pPr>
                    <w:autoSpaceDE w:val="0"/>
                    <w:autoSpaceDN w:val="0"/>
                    <w:adjustRightInd w:val="0"/>
                    <w:snapToGrid w:val="0"/>
                    <w:rPr>
                      <w:kern w:val="0"/>
                      <w:szCs w:val="21"/>
                    </w:rPr>
                  </w:pPr>
                  <w:r>
                    <w:rPr>
                      <w:rFonts w:hint="eastAsia"/>
                      <w:kern w:val="0"/>
                      <w:szCs w:val="21"/>
                    </w:rPr>
                    <w:t>禁止在长江流域水土流失严重、生态脆弱的区域开展可能造成水土流失的生产建设活动。确因国家发展战略和国计民生需要建设的，应当经科学论证，并依法办理审批手续。</w:t>
                  </w:r>
                </w:p>
              </w:tc>
              <w:tc>
                <w:tcPr>
                  <w:tcW w:w="3260" w:type="dxa"/>
                  <w:vAlign w:val="center"/>
                </w:tcPr>
                <w:p>
                  <w:pPr>
                    <w:autoSpaceDE w:val="0"/>
                    <w:autoSpaceDN w:val="0"/>
                    <w:adjustRightInd w:val="0"/>
                    <w:snapToGrid w:val="0"/>
                    <w:rPr>
                      <w:kern w:val="0"/>
                      <w:szCs w:val="21"/>
                    </w:rPr>
                  </w:pPr>
                  <w:r>
                    <w:rPr>
                      <w:rFonts w:hint="eastAsia"/>
                      <w:kern w:val="0"/>
                      <w:szCs w:val="21"/>
                    </w:rPr>
                    <w:t>根据项目水土保持方案，项目建设区不涉及全国水土保持监测网络中的水土保持监测站点、重点试验区，也无国家确定的水土保持长期定位观测站，不在国家划定的易引起严重水土流失和生态变化的地区，也不属于地质灾害易发区，项目区内无自然保护区、风景名胜区、森林公园和自然遗产等。项目区虽然位于金沙江上游及三江并流国家级水土流失重点预防区内，但防治标准采取一级标准，并提高相应防护目标值。维西傈僳族自治县目前已同意项目水土保持方案（详见</w:t>
                  </w:r>
                  <w:r>
                    <w:rPr>
                      <w:rFonts w:hint="eastAsia"/>
                      <w:b/>
                      <w:kern w:val="0"/>
                      <w:szCs w:val="21"/>
                      <w:u w:val="single"/>
                    </w:rPr>
                    <w:t>附件</w:t>
                  </w:r>
                  <w:r>
                    <w:rPr>
                      <w:b/>
                      <w:kern w:val="0"/>
                      <w:szCs w:val="21"/>
                      <w:u w:val="single"/>
                    </w:rPr>
                    <w:t>5</w:t>
                  </w:r>
                  <w:r>
                    <w:rPr>
                      <w:rFonts w:hint="eastAsia"/>
                      <w:kern w:val="0"/>
                      <w:szCs w:val="21"/>
                    </w:rPr>
                    <w:t>），按照水土保持方案完善水保措施后，项目建设运行过程中水土流失可控。</w:t>
                  </w:r>
                </w:p>
              </w:tc>
              <w:tc>
                <w:tcPr>
                  <w:tcW w:w="783" w:type="dxa"/>
                  <w:vAlign w:val="center"/>
                </w:tcPr>
                <w:p>
                  <w:pPr>
                    <w:autoSpaceDE w:val="0"/>
                    <w:autoSpaceDN w:val="0"/>
                    <w:adjustRightInd w:val="0"/>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8" w:type="dxa"/>
                  <w:vMerge w:val="restart"/>
                  <w:vAlign w:val="center"/>
                </w:tcPr>
                <w:p>
                  <w:pPr>
                    <w:autoSpaceDE w:val="0"/>
                    <w:autoSpaceDN w:val="0"/>
                    <w:adjustRightInd w:val="0"/>
                    <w:snapToGrid w:val="0"/>
                    <w:jc w:val="center"/>
                    <w:rPr>
                      <w:kern w:val="0"/>
                      <w:szCs w:val="21"/>
                    </w:rPr>
                  </w:pPr>
                  <w:r>
                    <w:rPr>
                      <w:rFonts w:hint="eastAsia"/>
                      <w:kern w:val="0"/>
                      <w:szCs w:val="21"/>
                    </w:rPr>
                    <w:t>污染物排放管控</w:t>
                  </w:r>
                </w:p>
              </w:tc>
              <w:tc>
                <w:tcPr>
                  <w:tcW w:w="3260" w:type="dxa"/>
                  <w:vAlign w:val="center"/>
                </w:tcPr>
                <w:p>
                  <w:pPr>
                    <w:autoSpaceDE w:val="0"/>
                    <w:autoSpaceDN w:val="0"/>
                    <w:adjustRightInd w:val="0"/>
                    <w:snapToGrid w:val="0"/>
                    <w:rPr>
                      <w:kern w:val="0"/>
                      <w:szCs w:val="21"/>
                    </w:rPr>
                  </w:pPr>
                  <w:r>
                    <w:rPr>
                      <w:rFonts w:hint="eastAsia"/>
                      <w:kern w:val="0"/>
                      <w:szCs w:val="21"/>
                    </w:rPr>
                    <w:t>全州化学需氧量、氨氮、二氧化硫和氮氧化物等污染物排放执行云南省下达的污染物排放总量控制目标。</w:t>
                  </w:r>
                </w:p>
              </w:tc>
              <w:tc>
                <w:tcPr>
                  <w:tcW w:w="3260" w:type="dxa"/>
                  <w:vAlign w:val="center"/>
                </w:tcPr>
                <w:p>
                  <w:pPr>
                    <w:autoSpaceDE w:val="0"/>
                    <w:autoSpaceDN w:val="0"/>
                    <w:adjustRightInd w:val="0"/>
                    <w:snapToGrid w:val="0"/>
                    <w:rPr>
                      <w:kern w:val="0"/>
                      <w:szCs w:val="21"/>
                    </w:rPr>
                  </w:pPr>
                  <w:r>
                    <w:rPr>
                      <w:rFonts w:hint="eastAsia"/>
                      <w:kern w:val="0"/>
                      <w:szCs w:val="21"/>
                    </w:rPr>
                    <w:t>项目运营期产生及排放大气污染物为TSP，无需设置总量控制目标；运营期生产废水及合理收集沉淀处理后回用于洗砂工段，不外排；生活污水经化粪池收集后回用于绿化，不外排，故无需设置化学需氧量、氨氮总量控制目标。</w:t>
                  </w:r>
                </w:p>
              </w:tc>
              <w:tc>
                <w:tcPr>
                  <w:tcW w:w="783" w:type="dxa"/>
                  <w:vAlign w:val="center"/>
                </w:tcPr>
                <w:p>
                  <w:pPr>
                    <w:autoSpaceDE w:val="0"/>
                    <w:autoSpaceDN w:val="0"/>
                    <w:adjustRightInd w:val="0"/>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8" w:type="dxa"/>
                  <w:vMerge w:val="continue"/>
                  <w:vAlign w:val="center"/>
                </w:tcPr>
                <w:p>
                  <w:pPr>
                    <w:autoSpaceDE w:val="0"/>
                    <w:autoSpaceDN w:val="0"/>
                    <w:adjustRightInd w:val="0"/>
                    <w:snapToGrid w:val="0"/>
                    <w:jc w:val="center"/>
                    <w:rPr>
                      <w:kern w:val="0"/>
                      <w:szCs w:val="21"/>
                    </w:rPr>
                  </w:pPr>
                </w:p>
              </w:tc>
              <w:tc>
                <w:tcPr>
                  <w:tcW w:w="3260" w:type="dxa"/>
                  <w:vAlign w:val="center"/>
                </w:tcPr>
                <w:p>
                  <w:pPr>
                    <w:autoSpaceDE w:val="0"/>
                    <w:autoSpaceDN w:val="0"/>
                    <w:adjustRightInd w:val="0"/>
                    <w:snapToGrid w:val="0"/>
                    <w:rPr>
                      <w:kern w:val="0"/>
                      <w:szCs w:val="21"/>
                    </w:rPr>
                  </w:pPr>
                  <w:r>
                    <w:rPr>
                      <w:rFonts w:hint="eastAsia"/>
                      <w:kern w:val="0"/>
                      <w:szCs w:val="21"/>
                    </w:rPr>
                    <w:t>新、改、扩建涉重金属重点行业建设项目必须遵循重点重金属污染物排放“减量置换”或“等量替换”的原则，应有明确具体的重金属污染物排放总量来源。</w:t>
                  </w:r>
                </w:p>
              </w:tc>
              <w:tc>
                <w:tcPr>
                  <w:tcW w:w="3260" w:type="dxa"/>
                  <w:vAlign w:val="center"/>
                </w:tcPr>
                <w:p>
                  <w:pPr>
                    <w:autoSpaceDE w:val="0"/>
                    <w:autoSpaceDN w:val="0"/>
                    <w:adjustRightInd w:val="0"/>
                    <w:snapToGrid w:val="0"/>
                    <w:rPr>
                      <w:kern w:val="0"/>
                      <w:szCs w:val="21"/>
                    </w:rPr>
                  </w:pPr>
                  <w:r>
                    <w:rPr>
                      <w:rFonts w:hint="eastAsia"/>
                      <w:szCs w:val="21"/>
                    </w:rPr>
                    <w:t>项目属砂石加工企业，项目建设运行过程中不涉及重金属污染物产生及排放，无需进行重金属污染物</w:t>
                  </w:r>
                  <w:r>
                    <w:rPr>
                      <w:rFonts w:hint="eastAsia"/>
                      <w:kern w:val="0"/>
                      <w:szCs w:val="21"/>
                    </w:rPr>
                    <w:t>“减量置换”或“等量替换”。</w:t>
                  </w:r>
                </w:p>
              </w:tc>
              <w:tc>
                <w:tcPr>
                  <w:tcW w:w="783" w:type="dxa"/>
                  <w:vAlign w:val="center"/>
                </w:tcPr>
                <w:p>
                  <w:pPr>
                    <w:autoSpaceDE w:val="0"/>
                    <w:autoSpaceDN w:val="0"/>
                    <w:adjustRightInd w:val="0"/>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78" w:type="dxa"/>
                  <w:vMerge w:val="continue"/>
                  <w:vAlign w:val="center"/>
                </w:tcPr>
                <w:p>
                  <w:pPr>
                    <w:autoSpaceDE w:val="0"/>
                    <w:autoSpaceDN w:val="0"/>
                    <w:adjustRightInd w:val="0"/>
                    <w:snapToGrid w:val="0"/>
                    <w:jc w:val="center"/>
                    <w:rPr>
                      <w:kern w:val="0"/>
                      <w:szCs w:val="21"/>
                    </w:rPr>
                  </w:pPr>
                </w:p>
              </w:tc>
              <w:tc>
                <w:tcPr>
                  <w:tcW w:w="3260" w:type="dxa"/>
                  <w:vAlign w:val="center"/>
                </w:tcPr>
                <w:p>
                  <w:pPr>
                    <w:autoSpaceDE w:val="0"/>
                    <w:autoSpaceDN w:val="0"/>
                    <w:adjustRightInd w:val="0"/>
                    <w:snapToGrid w:val="0"/>
                    <w:rPr>
                      <w:kern w:val="0"/>
                      <w:szCs w:val="21"/>
                    </w:rPr>
                  </w:pPr>
                  <w:r>
                    <w:rPr>
                      <w:rFonts w:hint="eastAsia"/>
                      <w:kern w:val="0"/>
                      <w:szCs w:val="21"/>
                    </w:rPr>
                    <w:t>新建城区污水管网应与市政道路同步建设，严格落实雨污分流制;持续推进老旧城区、城乡结合部的污水管网建设，消除全州城市建成区基本生活污水收集处理设施空白区；对于人口少、相对分散或近期市政管网难以覆盖的地区，因地制宜建设分散污水处理设施。提高乡镇生活污水处理和生活垃圾收集处理水平。</w:t>
                  </w:r>
                </w:p>
              </w:tc>
              <w:tc>
                <w:tcPr>
                  <w:tcW w:w="3260" w:type="dxa"/>
                  <w:vAlign w:val="center"/>
                </w:tcPr>
                <w:p>
                  <w:pPr>
                    <w:autoSpaceDE w:val="0"/>
                    <w:autoSpaceDN w:val="0"/>
                    <w:adjustRightInd w:val="0"/>
                    <w:snapToGrid w:val="0"/>
                    <w:rPr>
                      <w:kern w:val="0"/>
                      <w:szCs w:val="21"/>
                    </w:rPr>
                  </w:pPr>
                  <w:r>
                    <w:rPr>
                      <w:rFonts w:hint="eastAsia"/>
                      <w:kern w:val="0"/>
                      <w:szCs w:val="21"/>
                    </w:rPr>
                    <w:t>项目厂址位于维西傈僳族自治县白济汛乡下笼嘎，属农村地区，项目不涉及城镇给排水工程建设。</w:t>
                  </w:r>
                </w:p>
              </w:tc>
              <w:tc>
                <w:tcPr>
                  <w:tcW w:w="783" w:type="dxa"/>
                  <w:vAlign w:val="center"/>
                </w:tcPr>
                <w:p>
                  <w:pPr>
                    <w:autoSpaceDE w:val="0"/>
                    <w:autoSpaceDN w:val="0"/>
                    <w:adjustRightInd w:val="0"/>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8" w:type="dxa"/>
                  <w:vMerge w:val="continue"/>
                  <w:vAlign w:val="center"/>
                </w:tcPr>
                <w:p>
                  <w:pPr>
                    <w:autoSpaceDE w:val="0"/>
                    <w:autoSpaceDN w:val="0"/>
                    <w:adjustRightInd w:val="0"/>
                    <w:snapToGrid w:val="0"/>
                    <w:jc w:val="center"/>
                    <w:rPr>
                      <w:kern w:val="0"/>
                      <w:szCs w:val="21"/>
                    </w:rPr>
                  </w:pPr>
                </w:p>
              </w:tc>
              <w:tc>
                <w:tcPr>
                  <w:tcW w:w="3260" w:type="dxa"/>
                  <w:vAlign w:val="center"/>
                </w:tcPr>
                <w:p>
                  <w:pPr>
                    <w:autoSpaceDE w:val="0"/>
                    <w:autoSpaceDN w:val="0"/>
                    <w:adjustRightInd w:val="0"/>
                    <w:snapToGrid w:val="0"/>
                    <w:rPr>
                      <w:kern w:val="0"/>
                      <w:szCs w:val="21"/>
                    </w:rPr>
                  </w:pPr>
                  <w:r>
                    <w:rPr>
                      <w:rFonts w:hint="eastAsia"/>
                      <w:kern w:val="0"/>
                      <w:szCs w:val="21"/>
                    </w:rPr>
                    <w:t>加快实施长江干流及主要支流、重点敏感区域城镇污水处理厂提标改造，香格里拉市第一污水处理厂、维西污水处理厂、德钦污水处理厂出水水质达到一级A排放标准。</w:t>
                  </w:r>
                </w:p>
              </w:tc>
              <w:tc>
                <w:tcPr>
                  <w:tcW w:w="3260" w:type="dxa"/>
                  <w:vMerge w:val="restart"/>
                  <w:vAlign w:val="center"/>
                </w:tcPr>
                <w:p>
                  <w:pPr>
                    <w:autoSpaceDE w:val="0"/>
                    <w:autoSpaceDN w:val="0"/>
                    <w:adjustRightInd w:val="0"/>
                    <w:snapToGrid w:val="0"/>
                    <w:rPr>
                      <w:kern w:val="0"/>
                      <w:szCs w:val="21"/>
                    </w:rPr>
                  </w:pPr>
                  <w:r>
                    <w:rPr>
                      <w:rFonts w:hint="eastAsia"/>
                      <w:szCs w:val="21"/>
                    </w:rPr>
                    <w:t>本项目不涉及城镇污水处理厂的新建及提升改造。</w:t>
                  </w:r>
                </w:p>
              </w:tc>
              <w:tc>
                <w:tcPr>
                  <w:tcW w:w="783" w:type="dxa"/>
                  <w:vAlign w:val="center"/>
                </w:tcPr>
                <w:p>
                  <w:pPr>
                    <w:autoSpaceDE w:val="0"/>
                    <w:autoSpaceDN w:val="0"/>
                    <w:adjustRightInd w:val="0"/>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8" w:type="dxa"/>
                  <w:vMerge w:val="continue"/>
                  <w:vAlign w:val="center"/>
                </w:tcPr>
                <w:p>
                  <w:pPr>
                    <w:autoSpaceDE w:val="0"/>
                    <w:autoSpaceDN w:val="0"/>
                    <w:adjustRightInd w:val="0"/>
                    <w:snapToGrid w:val="0"/>
                    <w:jc w:val="center"/>
                    <w:rPr>
                      <w:kern w:val="0"/>
                      <w:szCs w:val="21"/>
                    </w:rPr>
                  </w:pPr>
                </w:p>
              </w:tc>
              <w:tc>
                <w:tcPr>
                  <w:tcW w:w="3260" w:type="dxa"/>
                  <w:vAlign w:val="center"/>
                </w:tcPr>
                <w:p>
                  <w:pPr>
                    <w:autoSpaceDE w:val="0"/>
                    <w:autoSpaceDN w:val="0"/>
                    <w:adjustRightInd w:val="0"/>
                    <w:snapToGrid w:val="0"/>
                    <w:rPr>
                      <w:kern w:val="0"/>
                      <w:szCs w:val="21"/>
                    </w:rPr>
                  </w:pPr>
                  <w:r>
                    <w:rPr>
                      <w:rFonts w:hint="eastAsia"/>
                      <w:kern w:val="0"/>
                      <w:szCs w:val="21"/>
                    </w:rPr>
                    <w:t>提高污水处理厂污泥无害化处理处置率，不得闲置乡镇和村庄生活垃圾和污水处理设施，充分发挥设施效益，改善和提升区域环境质量。</w:t>
                  </w:r>
                </w:p>
              </w:tc>
              <w:tc>
                <w:tcPr>
                  <w:tcW w:w="3260" w:type="dxa"/>
                  <w:vMerge w:val="continue"/>
                  <w:vAlign w:val="center"/>
                </w:tcPr>
                <w:p>
                  <w:pPr>
                    <w:autoSpaceDE w:val="0"/>
                    <w:autoSpaceDN w:val="0"/>
                    <w:adjustRightInd w:val="0"/>
                    <w:snapToGrid w:val="0"/>
                    <w:rPr>
                      <w:kern w:val="0"/>
                      <w:szCs w:val="21"/>
                    </w:rPr>
                  </w:pPr>
                </w:p>
              </w:tc>
              <w:tc>
                <w:tcPr>
                  <w:tcW w:w="783" w:type="dxa"/>
                  <w:vAlign w:val="center"/>
                </w:tcPr>
                <w:p>
                  <w:pPr>
                    <w:autoSpaceDE w:val="0"/>
                    <w:autoSpaceDN w:val="0"/>
                    <w:adjustRightInd w:val="0"/>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8" w:type="dxa"/>
                  <w:vMerge w:val="continue"/>
                  <w:vAlign w:val="center"/>
                </w:tcPr>
                <w:p>
                  <w:pPr>
                    <w:autoSpaceDE w:val="0"/>
                    <w:autoSpaceDN w:val="0"/>
                    <w:adjustRightInd w:val="0"/>
                    <w:snapToGrid w:val="0"/>
                    <w:jc w:val="center"/>
                    <w:rPr>
                      <w:kern w:val="0"/>
                      <w:szCs w:val="21"/>
                    </w:rPr>
                  </w:pPr>
                </w:p>
              </w:tc>
              <w:tc>
                <w:tcPr>
                  <w:tcW w:w="3260" w:type="dxa"/>
                  <w:vAlign w:val="center"/>
                </w:tcPr>
                <w:p>
                  <w:pPr>
                    <w:autoSpaceDE w:val="0"/>
                    <w:autoSpaceDN w:val="0"/>
                    <w:adjustRightInd w:val="0"/>
                    <w:snapToGrid w:val="0"/>
                    <w:rPr>
                      <w:kern w:val="0"/>
                      <w:szCs w:val="21"/>
                    </w:rPr>
                  </w:pPr>
                  <w:r>
                    <w:rPr>
                      <w:rFonts w:hint="eastAsia"/>
                      <w:kern w:val="0"/>
                      <w:szCs w:val="21"/>
                    </w:rPr>
                    <w:t>各类工业园区应当按规定建设污水集中处理设施。严禁未经处理的废水接入市政管网和生活污水处理厂。</w:t>
                  </w:r>
                </w:p>
              </w:tc>
              <w:tc>
                <w:tcPr>
                  <w:tcW w:w="3260" w:type="dxa"/>
                  <w:vAlign w:val="center"/>
                </w:tcPr>
                <w:p>
                  <w:pPr>
                    <w:autoSpaceDE w:val="0"/>
                    <w:autoSpaceDN w:val="0"/>
                    <w:adjustRightInd w:val="0"/>
                    <w:snapToGrid w:val="0"/>
                    <w:rPr>
                      <w:kern w:val="0"/>
                      <w:szCs w:val="21"/>
                    </w:rPr>
                  </w:pPr>
                  <w:r>
                    <w:rPr>
                      <w:rFonts w:hint="eastAsia"/>
                      <w:kern w:val="0"/>
                      <w:szCs w:val="21"/>
                    </w:rPr>
                    <w:t>项目厂址位于维西傈僳族自治县白济汛乡下笼嘎，选址不在工业园区内，运营期生产废水及生活污水合理收集后回用，不外排。</w:t>
                  </w:r>
                </w:p>
              </w:tc>
              <w:tc>
                <w:tcPr>
                  <w:tcW w:w="783" w:type="dxa"/>
                  <w:vAlign w:val="center"/>
                </w:tcPr>
                <w:p>
                  <w:pPr>
                    <w:autoSpaceDE w:val="0"/>
                    <w:autoSpaceDN w:val="0"/>
                    <w:adjustRightInd w:val="0"/>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78" w:type="dxa"/>
                  <w:vMerge w:val="continue"/>
                  <w:vAlign w:val="center"/>
                </w:tcPr>
                <w:p>
                  <w:pPr>
                    <w:autoSpaceDE w:val="0"/>
                    <w:autoSpaceDN w:val="0"/>
                    <w:adjustRightInd w:val="0"/>
                    <w:snapToGrid w:val="0"/>
                    <w:jc w:val="center"/>
                    <w:rPr>
                      <w:kern w:val="0"/>
                      <w:szCs w:val="21"/>
                    </w:rPr>
                  </w:pPr>
                </w:p>
              </w:tc>
              <w:tc>
                <w:tcPr>
                  <w:tcW w:w="3260" w:type="dxa"/>
                  <w:vAlign w:val="center"/>
                </w:tcPr>
                <w:p>
                  <w:pPr>
                    <w:autoSpaceDE w:val="0"/>
                    <w:autoSpaceDN w:val="0"/>
                    <w:adjustRightInd w:val="0"/>
                    <w:snapToGrid w:val="0"/>
                    <w:rPr>
                      <w:kern w:val="0"/>
                      <w:szCs w:val="21"/>
                    </w:rPr>
                  </w:pPr>
                  <w:r>
                    <w:rPr>
                      <w:rFonts w:hint="eastAsia"/>
                      <w:kern w:val="0"/>
                      <w:szCs w:val="21"/>
                    </w:rPr>
                    <w:t>固定污染源必须严格落实排污许可制度，依法开展固定污染源登记并取得排污许可。</w:t>
                  </w:r>
                </w:p>
              </w:tc>
              <w:tc>
                <w:tcPr>
                  <w:tcW w:w="3260" w:type="dxa"/>
                  <w:vAlign w:val="center"/>
                </w:tcPr>
                <w:p>
                  <w:pPr>
                    <w:autoSpaceDE w:val="0"/>
                    <w:autoSpaceDN w:val="0"/>
                    <w:adjustRightInd w:val="0"/>
                    <w:snapToGrid w:val="0"/>
                    <w:rPr>
                      <w:kern w:val="0"/>
                      <w:szCs w:val="21"/>
                    </w:rPr>
                  </w:pPr>
                  <w:r>
                    <w:rPr>
                      <w:rFonts w:hint="eastAsia"/>
                      <w:kern w:val="0"/>
                      <w:szCs w:val="21"/>
                    </w:rPr>
                    <w:t>对照《固定污染源排污许可分类管理目录（2</w:t>
                  </w:r>
                  <w:r>
                    <w:rPr>
                      <w:kern w:val="0"/>
                      <w:szCs w:val="21"/>
                    </w:rPr>
                    <w:t>019</w:t>
                  </w:r>
                  <w:r>
                    <w:rPr>
                      <w:rFonts w:hint="eastAsia"/>
                      <w:kern w:val="0"/>
                      <w:szCs w:val="21"/>
                    </w:rPr>
                    <w:t>年版）》，项目排污许可管理类别为：简化管理。环评要求项目投入试运行前按照相关法律法规要求完成固定污染源排污许可简化管理工作，取得排污许可证后合法排污。</w:t>
                  </w:r>
                </w:p>
              </w:tc>
              <w:tc>
                <w:tcPr>
                  <w:tcW w:w="783" w:type="dxa"/>
                  <w:vAlign w:val="center"/>
                </w:tcPr>
                <w:p>
                  <w:pPr>
                    <w:autoSpaceDE w:val="0"/>
                    <w:autoSpaceDN w:val="0"/>
                    <w:adjustRightInd w:val="0"/>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8" w:type="dxa"/>
                  <w:vMerge w:val="continue"/>
                  <w:vAlign w:val="center"/>
                </w:tcPr>
                <w:p>
                  <w:pPr>
                    <w:autoSpaceDE w:val="0"/>
                    <w:autoSpaceDN w:val="0"/>
                    <w:adjustRightInd w:val="0"/>
                    <w:snapToGrid w:val="0"/>
                    <w:jc w:val="center"/>
                    <w:rPr>
                      <w:kern w:val="0"/>
                      <w:szCs w:val="21"/>
                    </w:rPr>
                  </w:pPr>
                </w:p>
              </w:tc>
              <w:tc>
                <w:tcPr>
                  <w:tcW w:w="3260" w:type="dxa"/>
                  <w:vAlign w:val="center"/>
                </w:tcPr>
                <w:p>
                  <w:pPr>
                    <w:autoSpaceDE w:val="0"/>
                    <w:autoSpaceDN w:val="0"/>
                    <w:adjustRightInd w:val="0"/>
                    <w:snapToGrid w:val="0"/>
                    <w:rPr>
                      <w:kern w:val="0"/>
                      <w:szCs w:val="21"/>
                    </w:rPr>
                  </w:pPr>
                  <w:r>
                    <w:rPr>
                      <w:rFonts w:hint="eastAsia"/>
                      <w:kern w:val="0"/>
                      <w:szCs w:val="21"/>
                    </w:rPr>
                    <w:t>禁止在长江流域河湖管理范围内倾倒、填埋、堆放、弃置、处理固体废物。长江流域县级以上地方人民政府应当加强对固体废物非法转移和倾倒的联防联控。</w:t>
                  </w:r>
                </w:p>
              </w:tc>
              <w:tc>
                <w:tcPr>
                  <w:tcW w:w="3260" w:type="dxa"/>
                  <w:vAlign w:val="center"/>
                </w:tcPr>
                <w:p>
                  <w:pPr>
                    <w:autoSpaceDE w:val="0"/>
                    <w:autoSpaceDN w:val="0"/>
                    <w:adjustRightInd w:val="0"/>
                    <w:snapToGrid w:val="0"/>
                    <w:rPr>
                      <w:kern w:val="0"/>
                      <w:szCs w:val="21"/>
                    </w:rPr>
                  </w:pPr>
                  <w:r>
                    <w:rPr>
                      <w:rFonts w:hint="eastAsia"/>
                      <w:kern w:val="0"/>
                      <w:szCs w:val="21"/>
                    </w:rPr>
                    <w:t>项目运营期要求设置生活垃圾桶，生活垃圾经收集后清运至区域指定生活垃圾处置点进行统一处置；项目区设置5㎡危废暂存间1座，运营期产生的危险废物经收集暂存于危废暂存间内，定期委托相关资质单位清运处置；沉淀池污泥定期清掏外售相关建材制造企业，回用于建材制造。</w:t>
                  </w:r>
                </w:p>
              </w:tc>
              <w:tc>
                <w:tcPr>
                  <w:tcW w:w="783" w:type="dxa"/>
                  <w:vAlign w:val="center"/>
                </w:tcPr>
                <w:p>
                  <w:pPr>
                    <w:autoSpaceDE w:val="0"/>
                    <w:autoSpaceDN w:val="0"/>
                    <w:adjustRightInd w:val="0"/>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8" w:type="dxa"/>
                  <w:vMerge w:val="continue"/>
                  <w:vAlign w:val="center"/>
                </w:tcPr>
                <w:p>
                  <w:pPr>
                    <w:autoSpaceDE w:val="0"/>
                    <w:autoSpaceDN w:val="0"/>
                    <w:adjustRightInd w:val="0"/>
                    <w:snapToGrid w:val="0"/>
                    <w:jc w:val="center"/>
                    <w:rPr>
                      <w:kern w:val="0"/>
                      <w:szCs w:val="21"/>
                    </w:rPr>
                  </w:pPr>
                </w:p>
              </w:tc>
              <w:tc>
                <w:tcPr>
                  <w:tcW w:w="3260" w:type="dxa"/>
                  <w:vAlign w:val="center"/>
                </w:tcPr>
                <w:p>
                  <w:pPr>
                    <w:autoSpaceDE w:val="0"/>
                    <w:autoSpaceDN w:val="0"/>
                    <w:adjustRightInd w:val="0"/>
                    <w:snapToGrid w:val="0"/>
                    <w:rPr>
                      <w:kern w:val="0"/>
                      <w:szCs w:val="21"/>
                    </w:rPr>
                  </w:pPr>
                  <w:r>
                    <w:rPr>
                      <w:rFonts w:hint="eastAsia"/>
                      <w:kern w:val="0"/>
                      <w:szCs w:val="21"/>
                    </w:rPr>
                    <w:t>农作物种植集中区深入推进测土配方施肥和农作物病虫害统防统治与全程绿色防控，提高农民科学施肥用药意识和技能，推动化肥、农药使用量实现负增长。</w:t>
                  </w:r>
                </w:p>
              </w:tc>
              <w:tc>
                <w:tcPr>
                  <w:tcW w:w="3260" w:type="dxa"/>
                  <w:vAlign w:val="center"/>
                </w:tcPr>
                <w:p>
                  <w:pPr>
                    <w:autoSpaceDE w:val="0"/>
                    <w:autoSpaceDN w:val="0"/>
                    <w:adjustRightInd w:val="0"/>
                    <w:snapToGrid w:val="0"/>
                    <w:rPr>
                      <w:kern w:val="0"/>
                      <w:szCs w:val="21"/>
                    </w:rPr>
                  </w:pPr>
                  <w:r>
                    <w:rPr>
                      <w:rFonts w:hint="eastAsia"/>
                      <w:kern w:val="0"/>
                      <w:szCs w:val="21"/>
                    </w:rPr>
                    <w:t>本项目不涉及。</w:t>
                  </w:r>
                </w:p>
              </w:tc>
              <w:tc>
                <w:tcPr>
                  <w:tcW w:w="783" w:type="dxa"/>
                  <w:vAlign w:val="center"/>
                </w:tcPr>
                <w:p>
                  <w:pPr>
                    <w:autoSpaceDE w:val="0"/>
                    <w:autoSpaceDN w:val="0"/>
                    <w:adjustRightInd w:val="0"/>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8" w:type="dxa"/>
                  <w:vMerge w:val="continue"/>
                  <w:vAlign w:val="center"/>
                </w:tcPr>
                <w:p>
                  <w:pPr>
                    <w:autoSpaceDE w:val="0"/>
                    <w:autoSpaceDN w:val="0"/>
                    <w:adjustRightInd w:val="0"/>
                    <w:snapToGrid w:val="0"/>
                    <w:jc w:val="center"/>
                    <w:rPr>
                      <w:kern w:val="0"/>
                      <w:szCs w:val="21"/>
                    </w:rPr>
                  </w:pPr>
                </w:p>
              </w:tc>
              <w:tc>
                <w:tcPr>
                  <w:tcW w:w="3260" w:type="dxa"/>
                  <w:vAlign w:val="center"/>
                </w:tcPr>
                <w:p>
                  <w:pPr>
                    <w:autoSpaceDE w:val="0"/>
                    <w:autoSpaceDN w:val="0"/>
                    <w:adjustRightInd w:val="0"/>
                    <w:snapToGrid w:val="0"/>
                    <w:rPr>
                      <w:kern w:val="0"/>
                      <w:szCs w:val="21"/>
                    </w:rPr>
                  </w:pPr>
                  <w:r>
                    <w:rPr>
                      <w:rFonts w:hint="eastAsia"/>
                      <w:kern w:val="0"/>
                      <w:szCs w:val="21"/>
                    </w:rPr>
                    <w:t>严格控制高毒高风险农药使用，研发推广缓控释肥料、低毒低残留农药、生物肥料、生物农药等新型产品和先进施肥施药机械。</w:t>
                  </w:r>
                </w:p>
              </w:tc>
              <w:tc>
                <w:tcPr>
                  <w:tcW w:w="3260" w:type="dxa"/>
                  <w:vAlign w:val="center"/>
                </w:tcPr>
                <w:p>
                  <w:pPr>
                    <w:autoSpaceDE w:val="0"/>
                    <w:autoSpaceDN w:val="0"/>
                    <w:adjustRightInd w:val="0"/>
                    <w:snapToGrid w:val="0"/>
                    <w:rPr>
                      <w:kern w:val="0"/>
                      <w:szCs w:val="21"/>
                    </w:rPr>
                  </w:pPr>
                  <w:r>
                    <w:rPr>
                      <w:rFonts w:hint="eastAsia"/>
                      <w:kern w:val="0"/>
                      <w:szCs w:val="21"/>
                    </w:rPr>
                    <w:t>本项目不涉及。</w:t>
                  </w:r>
                </w:p>
              </w:tc>
              <w:tc>
                <w:tcPr>
                  <w:tcW w:w="783" w:type="dxa"/>
                  <w:vAlign w:val="center"/>
                </w:tcPr>
                <w:p>
                  <w:pPr>
                    <w:autoSpaceDE w:val="0"/>
                    <w:autoSpaceDN w:val="0"/>
                    <w:adjustRightInd w:val="0"/>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78" w:type="dxa"/>
                  <w:vMerge w:val="continue"/>
                  <w:vAlign w:val="center"/>
                </w:tcPr>
                <w:p>
                  <w:pPr>
                    <w:autoSpaceDE w:val="0"/>
                    <w:autoSpaceDN w:val="0"/>
                    <w:adjustRightInd w:val="0"/>
                    <w:snapToGrid w:val="0"/>
                    <w:jc w:val="center"/>
                    <w:rPr>
                      <w:kern w:val="0"/>
                      <w:szCs w:val="21"/>
                    </w:rPr>
                  </w:pPr>
                </w:p>
              </w:tc>
              <w:tc>
                <w:tcPr>
                  <w:tcW w:w="3260" w:type="dxa"/>
                  <w:vAlign w:val="center"/>
                </w:tcPr>
                <w:p>
                  <w:pPr>
                    <w:autoSpaceDE w:val="0"/>
                    <w:autoSpaceDN w:val="0"/>
                    <w:adjustRightInd w:val="0"/>
                    <w:snapToGrid w:val="0"/>
                    <w:rPr>
                      <w:kern w:val="0"/>
                      <w:szCs w:val="21"/>
                    </w:rPr>
                  </w:pPr>
                  <w:r>
                    <w:rPr>
                      <w:rFonts w:hint="eastAsia"/>
                      <w:kern w:val="0"/>
                      <w:szCs w:val="21"/>
                    </w:rPr>
                    <w:t>合理应用地膜覆盖技术，降低地膜覆盖依赖度，严禁生产和使用未达到新国家标准的地膜，从源头上保障地膜减量。</w:t>
                  </w:r>
                </w:p>
              </w:tc>
              <w:tc>
                <w:tcPr>
                  <w:tcW w:w="3260" w:type="dxa"/>
                  <w:vAlign w:val="center"/>
                </w:tcPr>
                <w:p>
                  <w:pPr>
                    <w:autoSpaceDE w:val="0"/>
                    <w:autoSpaceDN w:val="0"/>
                    <w:adjustRightInd w:val="0"/>
                    <w:snapToGrid w:val="0"/>
                    <w:rPr>
                      <w:kern w:val="0"/>
                      <w:szCs w:val="21"/>
                    </w:rPr>
                  </w:pPr>
                  <w:r>
                    <w:rPr>
                      <w:rFonts w:hint="eastAsia"/>
                      <w:kern w:val="0"/>
                      <w:szCs w:val="21"/>
                    </w:rPr>
                    <w:t>本项目不涉及。</w:t>
                  </w:r>
                </w:p>
              </w:tc>
              <w:tc>
                <w:tcPr>
                  <w:tcW w:w="783" w:type="dxa"/>
                  <w:vAlign w:val="center"/>
                </w:tcPr>
                <w:p>
                  <w:pPr>
                    <w:autoSpaceDE w:val="0"/>
                    <w:autoSpaceDN w:val="0"/>
                    <w:adjustRightInd w:val="0"/>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8" w:type="dxa"/>
                  <w:vMerge w:val="restart"/>
                  <w:vAlign w:val="center"/>
                </w:tcPr>
                <w:p>
                  <w:pPr>
                    <w:autoSpaceDE w:val="0"/>
                    <w:autoSpaceDN w:val="0"/>
                    <w:adjustRightInd w:val="0"/>
                    <w:snapToGrid w:val="0"/>
                    <w:jc w:val="center"/>
                    <w:rPr>
                      <w:kern w:val="0"/>
                      <w:szCs w:val="21"/>
                    </w:rPr>
                  </w:pPr>
                  <w:r>
                    <w:rPr>
                      <w:rFonts w:hint="eastAsia"/>
                      <w:kern w:val="0"/>
                      <w:szCs w:val="21"/>
                    </w:rPr>
                    <w:t>环境风险防控</w:t>
                  </w:r>
                </w:p>
              </w:tc>
              <w:tc>
                <w:tcPr>
                  <w:tcW w:w="3260" w:type="dxa"/>
                  <w:vAlign w:val="center"/>
                </w:tcPr>
                <w:p>
                  <w:pPr>
                    <w:autoSpaceDE w:val="0"/>
                    <w:autoSpaceDN w:val="0"/>
                    <w:adjustRightInd w:val="0"/>
                    <w:snapToGrid w:val="0"/>
                    <w:rPr>
                      <w:kern w:val="0"/>
                      <w:szCs w:val="21"/>
                    </w:rPr>
                  </w:pPr>
                  <w:r>
                    <w:rPr>
                      <w:rFonts w:hint="eastAsia"/>
                      <w:kern w:val="0"/>
                      <w:szCs w:val="21"/>
                    </w:rPr>
                    <w:t>金沙江、澜沧江水系干流沿岸严格控制石化、化工、有色金属冶炼等项目环境风险，合理布局生产装置及危险化学品仓储等设施。</w:t>
                  </w:r>
                </w:p>
              </w:tc>
              <w:tc>
                <w:tcPr>
                  <w:tcW w:w="3260" w:type="dxa"/>
                  <w:vAlign w:val="center"/>
                </w:tcPr>
                <w:p>
                  <w:pPr>
                    <w:autoSpaceDE w:val="0"/>
                    <w:autoSpaceDN w:val="0"/>
                    <w:adjustRightInd w:val="0"/>
                    <w:snapToGrid w:val="0"/>
                    <w:rPr>
                      <w:kern w:val="0"/>
                      <w:szCs w:val="21"/>
                    </w:rPr>
                  </w:pPr>
                  <w:r>
                    <w:rPr>
                      <w:rFonts w:hint="eastAsia"/>
                      <w:kern w:val="0"/>
                      <w:szCs w:val="21"/>
                    </w:rPr>
                    <w:t>项目厂址位于维西傈僳族自治县白济汛乡下笼嘎，对照《国民经济行业分类》（GB</w:t>
                  </w:r>
                  <w:r>
                    <w:rPr>
                      <w:kern w:val="0"/>
                      <w:szCs w:val="21"/>
                    </w:rPr>
                    <w:t>/</w:t>
                  </w:r>
                  <w:r>
                    <w:rPr>
                      <w:rFonts w:hint="eastAsia"/>
                      <w:kern w:val="0"/>
                      <w:szCs w:val="21"/>
                    </w:rPr>
                    <w:t>T</w:t>
                  </w:r>
                  <w:r>
                    <w:rPr>
                      <w:kern w:val="0"/>
                      <w:szCs w:val="21"/>
                    </w:rPr>
                    <w:t xml:space="preserve"> 4754-2017</w:t>
                  </w:r>
                  <w:r>
                    <w:rPr>
                      <w:rFonts w:hint="eastAsia"/>
                      <w:kern w:val="0"/>
                      <w:szCs w:val="21"/>
                    </w:rPr>
                    <w:t xml:space="preserve">），本项目行业分类属 </w:t>
                  </w:r>
                  <w:r>
                    <w:rPr>
                      <w:rFonts w:hint="eastAsia"/>
                      <w:szCs w:val="21"/>
                    </w:rPr>
                    <w:t>C3099 其它非金属矿物制品制造，不属于</w:t>
                  </w:r>
                  <w:r>
                    <w:rPr>
                      <w:rFonts w:hint="eastAsia"/>
                      <w:kern w:val="0"/>
                      <w:szCs w:val="21"/>
                    </w:rPr>
                    <w:t>石化、化工、有色金属冶炼等项目，项目运营期要求按照规范设置5㎡危废暂存间1座，合理收集贮存运营期产生的废矿物油等危险废物。</w:t>
                  </w:r>
                </w:p>
              </w:tc>
              <w:tc>
                <w:tcPr>
                  <w:tcW w:w="783" w:type="dxa"/>
                  <w:vAlign w:val="center"/>
                </w:tcPr>
                <w:p>
                  <w:pPr>
                    <w:autoSpaceDE w:val="0"/>
                    <w:autoSpaceDN w:val="0"/>
                    <w:adjustRightInd w:val="0"/>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8" w:type="dxa"/>
                  <w:vMerge w:val="continue"/>
                  <w:vAlign w:val="center"/>
                </w:tcPr>
                <w:p>
                  <w:pPr>
                    <w:autoSpaceDE w:val="0"/>
                    <w:autoSpaceDN w:val="0"/>
                    <w:adjustRightInd w:val="0"/>
                    <w:snapToGrid w:val="0"/>
                    <w:jc w:val="center"/>
                    <w:rPr>
                      <w:kern w:val="0"/>
                      <w:szCs w:val="21"/>
                    </w:rPr>
                  </w:pPr>
                </w:p>
              </w:tc>
              <w:tc>
                <w:tcPr>
                  <w:tcW w:w="3260" w:type="dxa"/>
                  <w:vAlign w:val="center"/>
                </w:tcPr>
                <w:p>
                  <w:pPr>
                    <w:autoSpaceDE w:val="0"/>
                    <w:autoSpaceDN w:val="0"/>
                    <w:adjustRightInd w:val="0"/>
                    <w:snapToGrid w:val="0"/>
                    <w:rPr>
                      <w:kern w:val="0"/>
                      <w:szCs w:val="21"/>
                    </w:rPr>
                  </w:pPr>
                  <w:r>
                    <w:rPr>
                      <w:rFonts w:hint="eastAsia"/>
                      <w:kern w:val="0"/>
                      <w:szCs w:val="21"/>
                    </w:rPr>
                    <w:t>禁止在金沙江、澜沧江岸线三公里范围内和重要支流岸线一公里范围内新建、改建、扩建尾矿库；但是以提升安全、生态环境保护水平为目的的改建除外。</w:t>
                  </w:r>
                </w:p>
              </w:tc>
              <w:tc>
                <w:tcPr>
                  <w:tcW w:w="3260" w:type="dxa"/>
                  <w:vAlign w:val="center"/>
                </w:tcPr>
                <w:p>
                  <w:pPr>
                    <w:autoSpaceDE w:val="0"/>
                    <w:autoSpaceDN w:val="0"/>
                    <w:adjustRightInd w:val="0"/>
                    <w:snapToGrid w:val="0"/>
                    <w:rPr>
                      <w:kern w:val="0"/>
                      <w:szCs w:val="21"/>
                    </w:rPr>
                  </w:pPr>
                  <w:r>
                    <w:rPr>
                      <w:rFonts w:hint="eastAsia"/>
                      <w:szCs w:val="21"/>
                    </w:rPr>
                    <w:t>本项目不涉及尾矿库建设。</w:t>
                  </w:r>
                </w:p>
              </w:tc>
              <w:tc>
                <w:tcPr>
                  <w:tcW w:w="783" w:type="dxa"/>
                  <w:vAlign w:val="center"/>
                </w:tcPr>
                <w:p>
                  <w:pPr>
                    <w:autoSpaceDE w:val="0"/>
                    <w:autoSpaceDN w:val="0"/>
                    <w:adjustRightInd w:val="0"/>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8" w:type="dxa"/>
                  <w:vMerge w:val="continue"/>
                  <w:vAlign w:val="center"/>
                </w:tcPr>
                <w:p>
                  <w:pPr>
                    <w:autoSpaceDE w:val="0"/>
                    <w:autoSpaceDN w:val="0"/>
                    <w:adjustRightInd w:val="0"/>
                    <w:snapToGrid w:val="0"/>
                    <w:jc w:val="center"/>
                    <w:rPr>
                      <w:kern w:val="0"/>
                      <w:szCs w:val="21"/>
                    </w:rPr>
                  </w:pPr>
                </w:p>
              </w:tc>
              <w:tc>
                <w:tcPr>
                  <w:tcW w:w="3260" w:type="dxa"/>
                  <w:vAlign w:val="center"/>
                </w:tcPr>
                <w:p>
                  <w:pPr>
                    <w:autoSpaceDE w:val="0"/>
                    <w:autoSpaceDN w:val="0"/>
                    <w:adjustRightInd w:val="0"/>
                    <w:snapToGrid w:val="0"/>
                    <w:rPr>
                      <w:kern w:val="0"/>
                      <w:szCs w:val="21"/>
                    </w:rPr>
                  </w:pPr>
                  <w:r>
                    <w:rPr>
                      <w:rFonts w:hint="eastAsia"/>
                      <w:kern w:val="0"/>
                      <w:szCs w:val="21"/>
                    </w:rPr>
                    <w:t>合理布局、科学划定集中式饮用水水源地保护区，制定饮用水安全突发事件应急预案，加强饮用水备用应急水源建设，对饮用水水源的水环境质量进行实时监测。</w:t>
                  </w:r>
                </w:p>
              </w:tc>
              <w:tc>
                <w:tcPr>
                  <w:tcW w:w="3260" w:type="dxa"/>
                  <w:vAlign w:val="center"/>
                </w:tcPr>
                <w:p>
                  <w:pPr>
                    <w:autoSpaceDE w:val="0"/>
                    <w:autoSpaceDN w:val="0"/>
                    <w:adjustRightInd w:val="0"/>
                    <w:snapToGrid w:val="0"/>
                    <w:rPr>
                      <w:kern w:val="0"/>
                      <w:szCs w:val="21"/>
                    </w:rPr>
                  </w:pPr>
                  <w:r>
                    <w:rPr>
                      <w:rFonts w:hint="eastAsia"/>
                      <w:kern w:val="0"/>
                      <w:szCs w:val="21"/>
                    </w:rPr>
                    <w:t>本项目不涉及集中式饮用水水源地保护区划分工作，不占压维西县集中式饮用水源地。</w:t>
                  </w:r>
                </w:p>
              </w:tc>
              <w:tc>
                <w:tcPr>
                  <w:tcW w:w="783" w:type="dxa"/>
                  <w:vAlign w:val="center"/>
                </w:tcPr>
                <w:p>
                  <w:pPr>
                    <w:autoSpaceDE w:val="0"/>
                    <w:autoSpaceDN w:val="0"/>
                    <w:adjustRightInd w:val="0"/>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78" w:type="dxa"/>
                  <w:vMerge w:val="continue"/>
                  <w:vAlign w:val="center"/>
                </w:tcPr>
                <w:p>
                  <w:pPr>
                    <w:autoSpaceDE w:val="0"/>
                    <w:autoSpaceDN w:val="0"/>
                    <w:adjustRightInd w:val="0"/>
                    <w:snapToGrid w:val="0"/>
                    <w:jc w:val="center"/>
                    <w:rPr>
                      <w:kern w:val="0"/>
                      <w:szCs w:val="21"/>
                    </w:rPr>
                  </w:pPr>
                </w:p>
              </w:tc>
              <w:tc>
                <w:tcPr>
                  <w:tcW w:w="3260" w:type="dxa"/>
                  <w:vAlign w:val="center"/>
                </w:tcPr>
                <w:p>
                  <w:pPr>
                    <w:autoSpaceDE w:val="0"/>
                    <w:autoSpaceDN w:val="0"/>
                    <w:adjustRightInd w:val="0"/>
                    <w:snapToGrid w:val="0"/>
                    <w:rPr>
                      <w:kern w:val="0"/>
                      <w:szCs w:val="21"/>
                    </w:rPr>
                  </w:pPr>
                  <w:r>
                    <w:rPr>
                      <w:rFonts w:hint="eastAsia"/>
                      <w:kern w:val="0"/>
                      <w:szCs w:val="21"/>
                    </w:rPr>
                    <w:t>长江流域县级以上地方人民政府应当组织对沿河湖垃圾填埋场、加油站、矿山、尾矿库、危险废物处置场、化工园区和化工项目等地下水重点污染源及周边地下水环境风险隐患开展调查评估，并采取相应风险防范和整治措施。</w:t>
                  </w:r>
                </w:p>
              </w:tc>
              <w:tc>
                <w:tcPr>
                  <w:tcW w:w="3260" w:type="dxa"/>
                  <w:vAlign w:val="center"/>
                </w:tcPr>
                <w:p>
                  <w:pPr>
                    <w:autoSpaceDE w:val="0"/>
                    <w:autoSpaceDN w:val="0"/>
                    <w:adjustRightInd w:val="0"/>
                    <w:snapToGrid w:val="0"/>
                    <w:rPr>
                      <w:kern w:val="0"/>
                      <w:szCs w:val="21"/>
                    </w:rPr>
                  </w:pPr>
                  <w:r>
                    <w:rPr>
                      <w:rFonts w:hint="eastAsia"/>
                      <w:kern w:val="0"/>
                      <w:szCs w:val="21"/>
                    </w:rPr>
                    <w:t>项目运营期主要地下水污染源为危废暂存间，按照规范落实危废暂存危险防范措施后可从源头切断地下水污染途径，地下水污染环境风险可控。</w:t>
                  </w:r>
                </w:p>
              </w:tc>
              <w:tc>
                <w:tcPr>
                  <w:tcW w:w="783" w:type="dxa"/>
                  <w:vAlign w:val="center"/>
                </w:tcPr>
                <w:p>
                  <w:pPr>
                    <w:autoSpaceDE w:val="0"/>
                    <w:autoSpaceDN w:val="0"/>
                    <w:adjustRightInd w:val="0"/>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8" w:type="dxa"/>
                  <w:vMerge w:val="continue"/>
                  <w:vAlign w:val="center"/>
                </w:tcPr>
                <w:p>
                  <w:pPr>
                    <w:autoSpaceDE w:val="0"/>
                    <w:autoSpaceDN w:val="0"/>
                    <w:adjustRightInd w:val="0"/>
                    <w:snapToGrid w:val="0"/>
                    <w:jc w:val="center"/>
                    <w:rPr>
                      <w:kern w:val="0"/>
                      <w:szCs w:val="21"/>
                    </w:rPr>
                  </w:pPr>
                </w:p>
              </w:tc>
              <w:tc>
                <w:tcPr>
                  <w:tcW w:w="3260" w:type="dxa"/>
                  <w:vAlign w:val="center"/>
                </w:tcPr>
                <w:p>
                  <w:pPr>
                    <w:autoSpaceDE w:val="0"/>
                    <w:autoSpaceDN w:val="0"/>
                    <w:adjustRightInd w:val="0"/>
                    <w:snapToGrid w:val="0"/>
                    <w:rPr>
                      <w:kern w:val="0"/>
                      <w:szCs w:val="21"/>
                    </w:rPr>
                  </w:pPr>
                  <w:r>
                    <w:rPr>
                      <w:rFonts w:hint="eastAsia"/>
                      <w:kern w:val="0"/>
                      <w:szCs w:val="21"/>
                    </w:rPr>
                    <w:t>禁止在长江流域水上运输剧毒化学品和国家规定禁止通过内河运输的其他危险化学品。</w:t>
                  </w:r>
                </w:p>
              </w:tc>
              <w:tc>
                <w:tcPr>
                  <w:tcW w:w="3260" w:type="dxa"/>
                  <w:vAlign w:val="center"/>
                </w:tcPr>
                <w:p>
                  <w:pPr>
                    <w:autoSpaceDE w:val="0"/>
                    <w:autoSpaceDN w:val="0"/>
                    <w:adjustRightInd w:val="0"/>
                    <w:snapToGrid w:val="0"/>
                    <w:rPr>
                      <w:kern w:val="0"/>
                      <w:szCs w:val="21"/>
                    </w:rPr>
                  </w:pPr>
                  <w:r>
                    <w:rPr>
                      <w:rFonts w:hint="eastAsia"/>
                      <w:szCs w:val="21"/>
                    </w:rPr>
                    <w:t>项目运营期不涉及</w:t>
                  </w:r>
                  <w:r>
                    <w:rPr>
                      <w:rFonts w:hint="eastAsia"/>
                      <w:kern w:val="0"/>
                      <w:szCs w:val="21"/>
                    </w:rPr>
                    <w:t>剧毒化学品和国家规定禁止通过内河运输的其他危险化学品的运输。</w:t>
                  </w:r>
                </w:p>
              </w:tc>
              <w:tc>
                <w:tcPr>
                  <w:tcW w:w="783" w:type="dxa"/>
                  <w:vAlign w:val="center"/>
                </w:tcPr>
                <w:p>
                  <w:pPr>
                    <w:autoSpaceDE w:val="0"/>
                    <w:autoSpaceDN w:val="0"/>
                    <w:adjustRightInd w:val="0"/>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8" w:type="dxa"/>
                  <w:vMerge w:val="continue"/>
                  <w:vAlign w:val="center"/>
                </w:tcPr>
                <w:p>
                  <w:pPr>
                    <w:autoSpaceDE w:val="0"/>
                    <w:autoSpaceDN w:val="0"/>
                    <w:adjustRightInd w:val="0"/>
                    <w:snapToGrid w:val="0"/>
                    <w:jc w:val="center"/>
                    <w:rPr>
                      <w:kern w:val="0"/>
                      <w:szCs w:val="21"/>
                    </w:rPr>
                  </w:pPr>
                </w:p>
              </w:tc>
              <w:tc>
                <w:tcPr>
                  <w:tcW w:w="3260" w:type="dxa"/>
                  <w:vAlign w:val="center"/>
                </w:tcPr>
                <w:p>
                  <w:pPr>
                    <w:autoSpaceDE w:val="0"/>
                    <w:autoSpaceDN w:val="0"/>
                    <w:adjustRightInd w:val="0"/>
                    <w:snapToGrid w:val="0"/>
                    <w:rPr>
                      <w:kern w:val="0"/>
                      <w:szCs w:val="21"/>
                    </w:rPr>
                  </w:pPr>
                  <w:r>
                    <w:rPr>
                      <w:rFonts w:hint="eastAsia"/>
                      <w:kern w:val="0"/>
                      <w:szCs w:val="21"/>
                    </w:rPr>
                    <w:t>禁止在长江流域开放水域养殖、投放外来物种或者其他非本地物种种质资源。</w:t>
                  </w:r>
                </w:p>
              </w:tc>
              <w:tc>
                <w:tcPr>
                  <w:tcW w:w="3260" w:type="dxa"/>
                  <w:vAlign w:val="center"/>
                </w:tcPr>
                <w:p>
                  <w:pPr>
                    <w:autoSpaceDE w:val="0"/>
                    <w:autoSpaceDN w:val="0"/>
                    <w:adjustRightInd w:val="0"/>
                    <w:snapToGrid w:val="0"/>
                    <w:rPr>
                      <w:kern w:val="0"/>
                      <w:szCs w:val="21"/>
                    </w:rPr>
                  </w:pPr>
                  <w:r>
                    <w:rPr>
                      <w:rFonts w:hint="eastAsia"/>
                      <w:kern w:val="0"/>
                      <w:szCs w:val="21"/>
                    </w:rPr>
                    <w:t>本项目不涉及。</w:t>
                  </w:r>
                </w:p>
              </w:tc>
              <w:tc>
                <w:tcPr>
                  <w:tcW w:w="783" w:type="dxa"/>
                  <w:vAlign w:val="center"/>
                </w:tcPr>
                <w:p>
                  <w:pPr>
                    <w:autoSpaceDE w:val="0"/>
                    <w:autoSpaceDN w:val="0"/>
                    <w:adjustRightInd w:val="0"/>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8" w:type="dxa"/>
                  <w:vMerge w:val="restart"/>
                  <w:vAlign w:val="center"/>
                </w:tcPr>
                <w:p>
                  <w:pPr>
                    <w:autoSpaceDE w:val="0"/>
                    <w:autoSpaceDN w:val="0"/>
                    <w:adjustRightInd w:val="0"/>
                    <w:snapToGrid w:val="0"/>
                    <w:jc w:val="center"/>
                    <w:rPr>
                      <w:kern w:val="0"/>
                      <w:szCs w:val="21"/>
                    </w:rPr>
                  </w:pPr>
                  <w:r>
                    <w:rPr>
                      <w:rFonts w:hint="eastAsia"/>
                      <w:kern w:val="0"/>
                      <w:szCs w:val="21"/>
                    </w:rPr>
                    <w:t>资源开发利用率</w:t>
                  </w:r>
                </w:p>
              </w:tc>
              <w:tc>
                <w:tcPr>
                  <w:tcW w:w="3260" w:type="dxa"/>
                  <w:vAlign w:val="center"/>
                </w:tcPr>
                <w:p>
                  <w:pPr>
                    <w:autoSpaceDE w:val="0"/>
                    <w:autoSpaceDN w:val="0"/>
                    <w:adjustRightInd w:val="0"/>
                    <w:snapToGrid w:val="0"/>
                    <w:rPr>
                      <w:kern w:val="0"/>
                      <w:szCs w:val="21"/>
                    </w:rPr>
                  </w:pPr>
                  <w:r>
                    <w:rPr>
                      <w:rFonts w:hint="eastAsia"/>
                      <w:kern w:val="0"/>
                      <w:szCs w:val="21"/>
                    </w:rPr>
                    <w:t>全州用水执行省下达总量强度双控指标。</w:t>
                  </w:r>
                </w:p>
              </w:tc>
              <w:tc>
                <w:tcPr>
                  <w:tcW w:w="3260" w:type="dxa"/>
                  <w:vAlign w:val="center"/>
                </w:tcPr>
                <w:p>
                  <w:pPr>
                    <w:autoSpaceDE w:val="0"/>
                    <w:autoSpaceDN w:val="0"/>
                    <w:adjustRightInd w:val="0"/>
                    <w:snapToGrid w:val="0"/>
                    <w:rPr>
                      <w:kern w:val="0"/>
                      <w:szCs w:val="21"/>
                    </w:rPr>
                  </w:pPr>
                  <w:r>
                    <w:rPr>
                      <w:rFonts w:hint="eastAsia"/>
                      <w:szCs w:val="21"/>
                    </w:rPr>
                    <w:t>项目运营期生产废水和生活污水经合理收集后回用，本项目不属于高耗水企业，不会触及区域水资源利用底线。</w:t>
                  </w:r>
                </w:p>
              </w:tc>
              <w:tc>
                <w:tcPr>
                  <w:tcW w:w="783" w:type="dxa"/>
                  <w:vAlign w:val="center"/>
                </w:tcPr>
                <w:p>
                  <w:pPr>
                    <w:autoSpaceDE w:val="0"/>
                    <w:autoSpaceDN w:val="0"/>
                    <w:adjustRightInd w:val="0"/>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78" w:type="dxa"/>
                  <w:vMerge w:val="continue"/>
                  <w:vAlign w:val="center"/>
                </w:tcPr>
                <w:p>
                  <w:pPr>
                    <w:autoSpaceDE w:val="0"/>
                    <w:autoSpaceDN w:val="0"/>
                    <w:adjustRightInd w:val="0"/>
                    <w:snapToGrid w:val="0"/>
                    <w:jc w:val="center"/>
                    <w:rPr>
                      <w:kern w:val="0"/>
                      <w:szCs w:val="21"/>
                    </w:rPr>
                  </w:pPr>
                </w:p>
              </w:tc>
              <w:tc>
                <w:tcPr>
                  <w:tcW w:w="3260" w:type="dxa"/>
                  <w:vAlign w:val="center"/>
                </w:tcPr>
                <w:p>
                  <w:pPr>
                    <w:autoSpaceDE w:val="0"/>
                    <w:autoSpaceDN w:val="0"/>
                    <w:adjustRightInd w:val="0"/>
                    <w:snapToGrid w:val="0"/>
                    <w:rPr>
                      <w:kern w:val="0"/>
                      <w:szCs w:val="21"/>
                    </w:rPr>
                  </w:pPr>
                  <w:r>
                    <w:rPr>
                      <w:rFonts w:hint="eastAsia"/>
                      <w:kern w:val="0"/>
                      <w:szCs w:val="21"/>
                    </w:rPr>
                    <w:t>全州能源消费执行省下达指标。</w:t>
                  </w:r>
                </w:p>
              </w:tc>
              <w:tc>
                <w:tcPr>
                  <w:tcW w:w="3260" w:type="dxa"/>
                  <w:vAlign w:val="center"/>
                </w:tcPr>
                <w:p>
                  <w:pPr>
                    <w:autoSpaceDE w:val="0"/>
                    <w:autoSpaceDN w:val="0"/>
                    <w:adjustRightInd w:val="0"/>
                    <w:snapToGrid w:val="0"/>
                    <w:rPr>
                      <w:kern w:val="0"/>
                      <w:szCs w:val="21"/>
                    </w:rPr>
                  </w:pPr>
                  <w:r>
                    <w:rPr>
                      <w:rFonts w:hint="eastAsia"/>
                      <w:kern w:val="0"/>
                      <w:szCs w:val="21"/>
                    </w:rPr>
                    <w:t>项目运营期主要用能为电能，其由维西县白济汛乡供电电网接入，不会触及区域电能消耗红线。</w:t>
                  </w:r>
                </w:p>
              </w:tc>
              <w:tc>
                <w:tcPr>
                  <w:tcW w:w="783" w:type="dxa"/>
                  <w:vAlign w:val="center"/>
                </w:tcPr>
                <w:p>
                  <w:pPr>
                    <w:autoSpaceDE w:val="0"/>
                    <w:autoSpaceDN w:val="0"/>
                    <w:adjustRightInd w:val="0"/>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8" w:type="dxa"/>
                  <w:vMerge w:val="continue"/>
                  <w:vAlign w:val="center"/>
                </w:tcPr>
                <w:p>
                  <w:pPr>
                    <w:autoSpaceDE w:val="0"/>
                    <w:autoSpaceDN w:val="0"/>
                    <w:adjustRightInd w:val="0"/>
                    <w:snapToGrid w:val="0"/>
                    <w:jc w:val="center"/>
                    <w:rPr>
                      <w:kern w:val="0"/>
                      <w:szCs w:val="21"/>
                    </w:rPr>
                  </w:pPr>
                </w:p>
              </w:tc>
              <w:tc>
                <w:tcPr>
                  <w:tcW w:w="3260" w:type="dxa"/>
                  <w:vAlign w:val="center"/>
                </w:tcPr>
                <w:p>
                  <w:pPr>
                    <w:autoSpaceDE w:val="0"/>
                    <w:autoSpaceDN w:val="0"/>
                    <w:adjustRightInd w:val="0"/>
                    <w:snapToGrid w:val="0"/>
                    <w:rPr>
                      <w:kern w:val="0"/>
                      <w:szCs w:val="21"/>
                    </w:rPr>
                  </w:pPr>
                  <w:r>
                    <w:rPr>
                      <w:rFonts w:hint="eastAsia"/>
                      <w:kern w:val="0"/>
                      <w:szCs w:val="21"/>
                    </w:rPr>
                    <w:t>继续推进天然气管道工程，扩大天然气利用规模，逐步实现县级以上行政中心城市燃气设施全覆盖,提高清洁能源利用率。</w:t>
                  </w:r>
                </w:p>
              </w:tc>
              <w:tc>
                <w:tcPr>
                  <w:tcW w:w="3260" w:type="dxa"/>
                  <w:vAlign w:val="center"/>
                </w:tcPr>
                <w:p>
                  <w:pPr>
                    <w:autoSpaceDE w:val="0"/>
                    <w:autoSpaceDN w:val="0"/>
                    <w:adjustRightInd w:val="0"/>
                    <w:snapToGrid w:val="0"/>
                    <w:rPr>
                      <w:kern w:val="0"/>
                      <w:szCs w:val="21"/>
                    </w:rPr>
                  </w:pPr>
                  <w:r>
                    <w:rPr>
                      <w:rFonts w:hint="eastAsia"/>
                      <w:kern w:val="0"/>
                      <w:szCs w:val="21"/>
                    </w:rPr>
                    <w:t>项目运营期不涉及天然气使用。</w:t>
                  </w:r>
                </w:p>
              </w:tc>
              <w:tc>
                <w:tcPr>
                  <w:tcW w:w="783" w:type="dxa"/>
                  <w:vAlign w:val="center"/>
                </w:tcPr>
                <w:p>
                  <w:pPr>
                    <w:autoSpaceDE w:val="0"/>
                    <w:autoSpaceDN w:val="0"/>
                    <w:adjustRightInd w:val="0"/>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8" w:type="dxa"/>
                  <w:vMerge w:val="continue"/>
                  <w:vAlign w:val="center"/>
                </w:tcPr>
                <w:p>
                  <w:pPr>
                    <w:autoSpaceDE w:val="0"/>
                    <w:autoSpaceDN w:val="0"/>
                    <w:adjustRightInd w:val="0"/>
                    <w:snapToGrid w:val="0"/>
                    <w:jc w:val="center"/>
                    <w:rPr>
                      <w:kern w:val="0"/>
                      <w:szCs w:val="21"/>
                    </w:rPr>
                  </w:pPr>
                </w:p>
              </w:tc>
              <w:tc>
                <w:tcPr>
                  <w:tcW w:w="3260" w:type="dxa"/>
                  <w:vAlign w:val="center"/>
                </w:tcPr>
                <w:p>
                  <w:pPr>
                    <w:autoSpaceDE w:val="0"/>
                    <w:autoSpaceDN w:val="0"/>
                    <w:adjustRightInd w:val="0"/>
                    <w:snapToGrid w:val="0"/>
                    <w:rPr>
                      <w:kern w:val="0"/>
                      <w:szCs w:val="21"/>
                    </w:rPr>
                  </w:pPr>
                  <w:r>
                    <w:rPr>
                      <w:rFonts w:hint="eastAsia"/>
                      <w:kern w:val="0"/>
                      <w:szCs w:val="21"/>
                    </w:rPr>
                    <w:t>长江流域水资源保护与利用，应当根据流域综合规划，优先满足城乡居民生活用水，保障基本生态用水，并统筹农业、工业用水以及航运等需要。</w:t>
                  </w:r>
                </w:p>
              </w:tc>
              <w:tc>
                <w:tcPr>
                  <w:tcW w:w="3260" w:type="dxa"/>
                  <w:vAlign w:val="center"/>
                </w:tcPr>
                <w:p>
                  <w:pPr>
                    <w:autoSpaceDE w:val="0"/>
                    <w:autoSpaceDN w:val="0"/>
                    <w:adjustRightInd w:val="0"/>
                    <w:snapToGrid w:val="0"/>
                    <w:rPr>
                      <w:kern w:val="0"/>
                      <w:szCs w:val="21"/>
                    </w:rPr>
                  </w:pPr>
                  <w:r>
                    <w:rPr>
                      <w:rFonts w:hint="eastAsia"/>
                      <w:kern w:val="0"/>
                      <w:szCs w:val="21"/>
                    </w:rPr>
                    <w:t>项目运营期生产生活用水由附近山泉水引入，由于项目不属于高耗水行业，不会对区域城乡居民生活用水、生态用水，其他工业用水及航运用水造成冲击。</w:t>
                  </w:r>
                </w:p>
              </w:tc>
              <w:tc>
                <w:tcPr>
                  <w:tcW w:w="783" w:type="dxa"/>
                  <w:vAlign w:val="center"/>
                </w:tcPr>
                <w:p>
                  <w:pPr>
                    <w:autoSpaceDE w:val="0"/>
                    <w:autoSpaceDN w:val="0"/>
                    <w:adjustRightInd w:val="0"/>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8" w:type="dxa"/>
                  <w:vMerge w:val="continue"/>
                  <w:vAlign w:val="center"/>
                </w:tcPr>
                <w:p>
                  <w:pPr>
                    <w:autoSpaceDE w:val="0"/>
                    <w:autoSpaceDN w:val="0"/>
                    <w:adjustRightInd w:val="0"/>
                    <w:snapToGrid w:val="0"/>
                    <w:jc w:val="center"/>
                    <w:rPr>
                      <w:kern w:val="0"/>
                      <w:szCs w:val="21"/>
                    </w:rPr>
                  </w:pPr>
                </w:p>
              </w:tc>
              <w:tc>
                <w:tcPr>
                  <w:tcW w:w="3260" w:type="dxa"/>
                  <w:vAlign w:val="center"/>
                </w:tcPr>
                <w:p>
                  <w:pPr>
                    <w:autoSpaceDE w:val="0"/>
                    <w:autoSpaceDN w:val="0"/>
                    <w:adjustRightInd w:val="0"/>
                    <w:snapToGrid w:val="0"/>
                    <w:rPr>
                      <w:kern w:val="0"/>
                      <w:szCs w:val="21"/>
                    </w:rPr>
                  </w:pPr>
                  <w:r>
                    <w:rPr>
                      <w:rFonts w:hint="eastAsia"/>
                      <w:kern w:val="0"/>
                      <w:szCs w:val="21"/>
                    </w:rPr>
                    <w:t>长江流域加强对高耗水行业、重点用水单位的用水定额管理，严格控制高耗水项目建设。</w:t>
                  </w:r>
                </w:p>
              </w:tc>
              <w:tc>
                <w:tcPr>
                  <w:tcW w:w="3260" w:type="dxa"/>
                  <w:vAlign w:val="center"/>
                </w:tcPr>
                <w:p>
                  <w:pPr>
                    <w:autoSpaceDE w:val="0"/>
                    <w:autoSpaceDN w:val="0"/>
                    <w:adjustRightInd w:val="0"/>
                    <w:snapToGrid w:val="0"/>
                    <w:rPr>
                      <w:kern w:val="0"/>
                      <w:szCs w:val="21"/>
                    </w:rPr>
                  </w:pPr>
                  <w:r>
                    <w:rPr>
                      <w:rFonts w:hint="eastAsia"/>
                      <w:kern w:val="0"/>
                      <w:szCs w:val="21"/>
                    </w:rPr>
                    <w:t>本项目不属于高耗水行业。</w:t>
                  </w:r>
                </w:p>
              </w:tc>
              <w:tc>
                <w:tcPr>
                  <w:tcW w:w="783" w:type="dxa"/>
                  <w:vAlign w:val="center"/>
                </w:tcPr>
                <w:p>
                  <w:pPr>
                    <w:autoSpaceDE w:val="0"/>
                    <w:autoSpaceDN w:val="0"/>
                    <w:adjustRightInd w:val="0"/>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78" w:type="dxa"/>
                  <w:vMerge w:val="continue"/>
                  <w:vAlign w:val="center"/>
                </w:tcPr>
                <w:p>
                  <w:pPr>
                    <w:autoSpaceDE w:val="0"/>
                    <w:autoSpaceDN w:val="0"/>
                    <w:adjustRightInd w:val="0"/>
                    <w:snapToGrid w:val="0"/>
                    <w:jc w:val="center"/>
                    <w:rPr>
                      <w:kern w:val="0"/>
                      <w:szCs w:val="21"/>
                    </w:rPr>
                  </w:pPr>
                </w:p>
              </w:tc>
              <w:tc>
                <w:tcPr>
                  <w:tcW w:w="3260" w:type="dxa"/>
                  <w:vAlign w:val="center"/>
                </w:tcPr>
                <w:p>
                  <w:pPr>
                    <w:autoSpaceDE w:val="0"/>
                    <w:autoSpaceDN w:val="0"/>
                    <w:adjustRightInd w:val="0"/>
                    <w:snapToGrid w:val="0"/>
                    <w:rPr>
                      <w:kern w:val="0"/>
                      <w:szCs w:val="21"/>
                    </w:rPr>
                  </w:pPr>
                  <w:r>
                    <w:rPr>
                      <w:rFonts w:hint="eastAsia"/>
                      <w:kern w:val="0"/>
                      <w:szCs w:val="21"/>
                    </w:rPr>
                    <w:t>在长江流域水生生物保护区全面禁止生产性捕捞﹔在国家规定的期限内，长江千流和重要支流、大型通江湖泊、长江河口规定区域等重点水域全面禁止天然渔业资源的生产性捕捞。</w:t>
                  </w:r>
                </w:p>
              </w:tc>
              <w:tc>
                <w:tcPr>
                  <w:tcW w:w="3260" w:type="dxa"/>
                  <w:vAlign w:val="center"/>
                </w:tcPr>
                <w:p>
                  <w:pPr>
                    <w:autoSpaceDE w:val="0"/>
                    <w:autoSpaceDN w:val="0"/>
                    <w:adjustRightInd w:val="0"/>
                    <w:snapToGrid w:val="0"/>
                    <w:rPr>
                      <w:kern w:val="0"/>
                      <w:szCs w:val="21"/>
                    </w:rPr>
                  </w:pPr>
                  <w:r>
                    <w:rPr>
                      <w:rFonts w:hint="eastAsia"/>
                      <w:kern w:val="0"/>
                      <w:szCs w:val="21"/>
                    </w:rPr>
                    <w:t>本项目不涉及。</w:t>
                  </w:r>
                </w:p>
              </w:tc>
              <w:tc>
                <w:tcPr>
                  <w:tcW w:w="783" w:type="dxa"/>
                  <w:vAlign w:val="center"/>
                </w:tcPr>
                <w:p>
                  <w:pPr>
                    <w:autoSpaceDE w:val="0"/>
                    <w:autoSpaceDN w:val="0"/>
                    <w:adjustRightInd w:val="0"/>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8" w:type="dxa"/>
                  <w:vMerge w:val="continue"/>
                  <w:vAlign w:val="center"/>
                </w:tcPr>
                <w:p>
                  <w:pPr>
                    <w:autoSpaceDE w:val="0"/>
                    <w:autoSpaceDN w:val="0"/>
                    <w:adjustRightInd w:val="0"/>
                    <w:snapToGrid w:val="0"/>
                    <w:jc w:val="center"/>
                    <w:rPr>
                      <w:kern w:val="0"/>
                      <w:szCs w:val="21"/>
                    </w:rPr>
                  </w:pPr>
                </w:p>
              </w:tc>
              <w:tc>
                <w:tcPr>
                  <w:tcW w:w="3260" w:type="dxa"/>
                  <w:vAlign w:val="center"/>
                </w:tcPr>
                <w:p>
                  <w:pPr>
                    <w:autoSpaceDE w:val="0"/>
                    <w:autoSpaceDN w:val="0"/>
                    <w:adjustRightInd w:val="0"/>
                    <w:snapToGrid w:val="0"/>
                    <w:rPr>
                      <w:kern w:val="0"/>
                      <w:szCs w:val="21"/>
                    </w:rPr>
                  </w:pPr>
                  <w:r>
                    <w:rPr>
                      <w:rFonts w:hint="eastAsia"/>
                      <w:kern w:val="0"/>
                      <w:szCs w:val="21"/>
                    </w:rPr>
                    <w:t>长江流域县级以上地方人民政府及其有关部门应当定期调查评估地下水资源状况，监测地下水水量、水位、水环境质量，并采取相应风险防范措施，保障地下水资源安全。</w:t>
                  </w:r>
                </w:p>
              </w:tc>
              <w:tc>
                <w:tcPr>
                  <w:tcW w:w="3260" w:type="dxa"/>
                  <w:vAlign w:val="center"/>
                </w:tcPr>
                <w:p>
                  <w:pPr>
                    <w:autoSpaceDE w:val="0"/>
                    <w:autoSpaceDN w:val="0"/>
                    <w:adjustRightInd w:val="0"/>
                    <w:snapToGrid w:val="0"/>
                    <w:rPr>
                      <w:kern w:val="0"/>
                      <w:szCs w:val="21"/>
                    </w:rPr>
                  </w:pPr>
                  <w:r>
                    <w:rPr>
                      <w:rFonts w:hint="eastAsia"/>
                      <w:kern w:val="0"/>
                      <w:szCs w:val="21"/>
                    </w:rPr>
                    <w:t>本项目不涉及区域地下水开采。</w:t>
                  </w:r>
                </w:p>
              </w:tc>
              <w:tc>
                <w:tcPr>
                  <w:tcW w:w="783" w:type="dxa"/>
                  <w:vAlign w:val="center"/>
                </w:tcPr>
                <w:p>
                  <w:pPr>
                    <w:autoSpaceDE w:val="0"/>
                    <w:autoSpaceDN w:val="0"/>
                    <w:adjustRightInd w:val="0"/>
                    <w:snapToGrid w:val="0"/>
                    <w:jc w:val="center"/>
                    <w:rPr>
                      <w:kern w:val="0"/>
                      <w:szCs w:val="21"/>
                    </w:rPr>
                  </w:pPr>
                  <w:r>
                    <w:rPr>
                      <w:rFonts w:hint="eastAsia"/>
                      <w:kern w:val="0"/>
                      <w:szCs w:val="21"/>
                    </w:rPr>
                    <w:t>符合</w:t>
                  </w:r>
                </w:p>
              </w:tc>
            </w:tr>
          </w:tbl>
          <w:p>
            <w:pPr>
              <w:autoSpaceDE w:val="0"/>
              <w:autoSpaceDN w:val="0"/>
              <w:adjustRightInd w:val="0"/>
              <w:snapToGrid w:val="0"/>
              <w:jc w:val="center"/>
              <w:rPr>
                <w:kern w:val="0"/>
                <w:szCs w:val="21"/>
              </w:rPr>
            </w:pPr>
          </w:p>
          <w:p>
            <w:pPr>
              <w:autoSpaceDE w:val="0"/>
              <w:autoSpaceDN w:val="0"/>
              <w:adjustRightInd w:val="0"/>
              <w:snapToGrid w:val="0"/>
              <w:jc w:val="center"/>
              <w:rPr>
                <w:b/>
                <w:kern w:val="0"/>
                <w:sz w:val="24"/>
              </w:rPr>
            </w:pPr>
            <w:r>
              <w:rPr>
                <w:rFonts w:hint="eastAsia"/>
                <w:b/>
                <w:kern w:val="0"/>
                <w:sz w:val="24"/>
              </w:rPr>
              <w:t>表1</w:t>
            </w:r>
            <w:r>
              <w:rPr>
                <w:b/>
                <w:kern w:val="0"/>
                <w:sz w:val="24"/>
              </w:rPr>
              <w:t xml:space="preserve">.1-2  </w:t>
            </w:r>
            <w:r>
              <w:rPr>
                <w:rFonts w:hint="eastAsia"/>
                <w:b/>
                <w:kern w:val="0"/>
                <w:sz w:val="24"/>
              </w:rPr>
              <w:t>项目与一般管控单元生态环境准入清单符合性分析一览表</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4"/>
              <w:gridCol w:w="651"/>
              <w:gridCol w:w="2410"/>
              <w:gridCol w:w="3501"/>
              <w:gridCol w:w="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pPr>
                    <w:autoSpaceDE w:val="0"/>
                    <w:autoSpaceDN w:val="0"/>
                    <w:adjustRightInd w:val="0"/>
                    <w:snapToGrid w:val="0"/>
                    <w:jc w:val="center"/>
                    <w:rPr>
                      <w:b/>
                      <w:bCs/>
                      <w:kern w:val="0"/>
                      <w:szCs w:val="21"/>
                    </w:rPr>
                  </w:pPr>
                  <w:r>
                    <w:rPr>
                      <w:b/>
                      <w:bCs/>
                      <w:kern w:val="0"/>
                      <w:szCs w:val="21"/>
                    </w:rPr>
                    <w:t>县市</w:t>
                  </w:r>
                </w:p>
              </w:tc>
              <w:tc>
                <w:tcPr>
                  <w:tcW w:w="651" w:type="dxa"/>
                  <w:vAlign w:val="center"/>
                </w:tcPr>
                <w:p>
                  <w:pPr>
                    <w:autoSpaceDE w:val="0"/>
                    <w:autoSpaceDN w:val="0"/>
                    <w:adjustRightInd w:val="0"/>
                    <w:snapToGrid w:val="0"/>
                    <w:jc w:val="center"/>
                    <w:rPr>
                      <w:b/>
                      <w:bCs/>
                      <w:kern w:val="0"/>
                      <w:szCs w:val="21"/>
                    </w:rPr>
                  </w:pPr>
                  <w:r>
                    <w:rPr>
                      <w:b/>
                      <w:bCs/>
                      <w:kern w:val="0"/>
                      <w:szCs w:val="21"/>
                    </w:rPr>
                    <w:t>单元名称</w:t>
                  </w:r>
                </w:p>
              </w:tc>
              <w:tc>
                <w:tcPr>
                  <w:tcW w:w="2410" w:type="dxa"/>
                  <w:vAlign w:val="center"/>
                </w:tcPr>
                <w:p>
                  <w:pPr>
                    <w:autoSpaceDE w:val="0"/>
                    <w:autoSpaceDN w:val="0"/>
                    <w:adjustRightInd w:val="0"/>
                    <w:snapToGrid w:val="0"/>
                    <w:jc w:val="center"/>
                    <w:rPr>
                      <w:b/>
                      <w:bCs/>
                      <w:kern w:val="0"/>
                      <w:szCs w:val="21"/>
                    </w:rPr>
                  </w:pPr>
                  <w:r>
                    <w:rPr>
                      <w:b/>
                      <w:bCs/>
                      <w:kern w:val="0"/>
                      <w:szCs w:val="21"/>
                    </w:rPr>
                    <w:t>管控要求</w:t>
                  </w:r>
                </w:p>
              </w:tc>
              <w:tc>
                <w:tcPr>
                  <w:tcW w:w="3501" w:type="dxa"/>
                  <w:vAlign w:val="center"/>
                </w:tcPr>
                <w:p>
                  <w:pPr>
                    <w:autoSpaceDE w:val="0"/>
                    <w:autoSpaceDN w:val="0"/>
                    <w:adjustRightInd w:val="0"/>
                    <w:snapToGrid w:val="0"/>
                    <w:jc w:val="center"/>
                    <w:rPr>
                      <w:b/>
                      <w:bCs/>
                      <w:kern w:val="0"/>
                      <w:szCs w:val="21"/>
                    </w:rPr>
                  </w:pPr>
                  <w:r>
                    <w:rPr>
                      <w:b/>
                      <w:bCs/>
                      <w:kern w:val="0"/>
                      <w:szCs w:val="21"/>
                    </w:rPr>
                    <w:t>项目情况</w:t>
                  </w:r>
                </w:p>
              </w:tc>
              <w:tc>
                <w:tcPr>
                  <w:tcW w:w="825" w:type="dxa"/>
                  <w:vAlign w:val="center"/>
                </w:tcPr>
                <w:p>
                  <w:pPr>
                    <w:autoSpaceDE w:val="0"/>
                    <w:autoSpaceDN w:val="0"/>
                    <w:adjustRightInd w:val="0"/>
                    <w:snapToGrid w:val="0"/>
                    <w:jc w:val="center"/>
                    <w:rPr>
                      <w:b/>
                      <w:bCs/>
                      <w:kern w:val="0"/>
                      <w:szCs w:val="21"/>
                    </w:rPr>
                  </w:pPr>
                  <w:r>
                    <w:rPr>
                      <w:b/>
                      <w:bCs/>
                      <w:kern w:val="0"/>
                      <w:szCs w:val="21"/>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restart"/>
                  <w:vAlign w:val="center"/>
                </w:tcPr>
                <w:p>
                  <w:pPr>
                    <w:autoSpaceDE w:val="0"/>
                    <w:autoSpaceDN w:val="0"/>
                    <w:adjustRightInd w:val="0"/>
                    <w:snapToGrid w:val="0"/>
                    <w:jc w:val="center"/>
                    <w:rPr>
                      <w:kern w:val="0"/>
                      <w:szCs w:val="21"/>
                    </w:rPr>
                  </w:pPr>
                  <w:r>
                    <w:rPr>
                      <w:kern w:val="0"/>
                      <w:szCs w:val="21"/>
                    </w:rPr>
                    <w:t>各县市一般管控单元</w:t>
                  </w:r>
                </w:p>
              </w:tc>
              <w:tc>
                <w:tcPr>
                  <w:tcW w:w="651" w:type="dxa"/>
                  <w:vMerge w:val="restart"/>
                  <w:vAlign w:val="center"/>
                </w:tcPr>
                <w:p>
                  <w:pPr>
                    <w:autoSpaceDE w:val="0"/>
                    <w:autoSpaceDN w:val="0"/>
                    <w:adjustRightInd w:val="0"/>
                    <w:snapToGrid w:val="0"/>
                    <w:jc w:val="center"/>
                    <w:rPr>
                      <w:kern w:val="0"/>
                      <w:szCs w:val="21"/>
                    </w:rPr>
                  </w:pPr>
                  <w:r>
                    <w:rPr>
                      <w:kern w:val="0"/>
                      <w:szCs w:val="21"/>
                    </w:rPr>
                    <w:t>空间布局约束</w:t>
                  </w:r>
                </w:p>
              </w:tc>
              <w:tc>
                <w:tcPr>
                  <w:tcW w:w="2410" w:type="dxa"/>
                  <w:vAlign w:val="center"/>
                </w:tcPr>
                <w:p>
                  <w:pPr>
                    <w:autoSpaceDE w:val="0"/>
                    <w:autoSpaceDN w:val="0"/>
                    <w:adjustRightInd w:val="0"/>
                    <w:snapToGrid w:val="0"/>
                    <w:rPr>
                      <w:kern w:val="0"/>
                      <w:szCs w:val="21"/>
                    </w:rPr>
                  </w:pPr>
                  <w:r>
                    <w:rPr>
                      <w:kern w:val="0"/>
                      <w:szCs w:val="21"/>
                    </w:rPr>
                    <w:t>禁止在基本农田内从事非农业生产的活动。任何单元和个人不得改变或者占用基本农田保护区。</w:t>
                  </w:r>
                </w:p>
              </w:tc>
              <w:tc>
                <w:tcPr>
                  <w:tcW w:w="3501" w:type="dxa"/>
                  <w:vAlign w:val="center"/>
                </w:tcPr>
                <w:p>
                  <w:pPr>
                    <w:autoSpaceDE w:val="0"/>
                    <w:autoSpaceDN w:val="0"/>
                    <w:adjustRightInd w:val="0"/>
                    <w:snapToGrid w:val="0"/>
                    <w:rPr>
                      <w:kern w:val="0"/>
                      <w:szCs w:val="21"/>
                    </w:rPr>
                  </w:pPr>
                  <w:r>
                    <w:rPr>
                      <w:kern w:val="0"/>
                      <w:szCs w:val="21"/>
                    </w:rPr>
                    <w:t>项目选址位于维西傈僳族自治县白济汛乡下笼嘎，选址地块不属于基本农田，不占用基本农田保护区。</w:t>
                  </w:r>
                </w:p>
              </w:tc>
              <w:tc>
                <w:tcPr>
                  <w:tcW w:w="825" w:type="dxa"/>
                  <w:vAlign w:val="center"/>
                </w:tcPr>
                <w:p>
                  <w:pPr>
                    <w:autoSpaceDE w:val="0"/>
                    <w:autoSpaceDN w:val="0"/>
                    <w:adjustRightInd w:val="0"/>
                    <w:snapToGrid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vAlign w:val="center"/>
                </w:tcPr>
                <w:p>
                  <w:pPr>
                    <w:autoSpaceDE w:val="0"/>
                    <w:autoSpaceDN w:val="0"/>
                    <w:adjustRightInd w:val="0"/>
                    <w:snapToGrid w:val="0"/>
                    <w:jc w:val="center"/>
                    <w:rPr>
                      <w:kern w:val="0"/>
                      <w:szCs w:val="21"/>
                    </w:rPr>
                  </w:pPr>
                </w:p>
              </w:tc>
              <w:tc>
                <w:tcPr>
                  <w:tcW w:w="651" w:type="dxa"/>
                  <w:vMerge w:val="continue"/>
                  <w:vAlign w:val="center"/>
                </w:tcPr>
                <w:p>
                  <w:pPr>
                    <w:autoSpaceDE w:val="0"/>
                    <w:autoSpaceDN w:val="0"/>
                    <w:adjustRightInd w:val="0"/>
                    <w:snapToGrid w:val="0"/>
                    <w:jc w:val="center"/>
                    <w:rPr>
                      <w:kern w:val="0"/>
                      <w:szCs w:val="21"/>
                    </w:rPr>
                  </w:pPr>
                </w:p>
              </w:tc>
              <w:tc>
                <w:tcPr>
                  <w:tcW w:w="2410" w:type="dxa"/>
                  <w:vAlign w:val="center"/>
                </w:tcPr>
                <w:p>
                  <w:pPr>
                    <w:autoSpaceDE w:val="0"/>
                    <w:autoSpaceDN w:val="0"/>
                    <w:adjustRightInd w:val="0"/>
                    <w:snapToGrid w:val="0"/>
                    <w:rPr>
                      <w:kern w:val="0"/>
                      <w:szCs w:val="21"/>
                    </w:rPr>
                  </w:pPr>
                  <w:r>
                    <w:rPr>
                      <w:kern w:val="0"/>
                      <w:szCs w:val="21"/>
                    </w:rPr>
                    <w:t>加大非煤矿山的权利整治，依法、科学、规范设置非煤矿山。</w:t>
                  </w:r>
                </w:p>
              </w:tc>
              <w:tc>
                <w:tcPr>
                  <w:tcW w:w="3501" w:type="dxa"/>
                  <w:vAlign w:val="center"/>
                </w:tcPr>
                <w:p>
                  <w:pPr>
                    <w:autoSpaceDE w:val="0"/>
                    <w:autoSpaceDN w:val="0"/>
                    <w:adjustRightInd w:val="0"/>
                    <w:snapToGrid w:val="0"/>
                    <w:rPr>
                      <w:kern w:val="0"/>
                      <w:szCs w:val="21"/>
                    </w:rPr>
                  </w:pPr>
                  <w:r>
                    <w:rPr>
                      <w:rFonts w:hint="eastAsia"/>
                      <w:kern w:val="0"/>
                      <w:szCs w:val="21"/>
                    </w:rPr>
                    <w:t>对照《国民经济行业分类》（GB</w:t>
                  </w:r>
                  <w:r>
                    <w:rPr>
                      <w:kern w:val="0"/>
                      <w:szCs w:val="21"/>
                    </w:rPr>
                    <w:t>/</w:t>
                  </w:r>
                  <w:r>
                    <w:rPr>
                      <w:rFonts w:hint="eastAsia"/>
                      <w:kern w:val="0"/>
                      <w:szCs w:val="21"/>
                    </w:rPr>
                    <w:t>T</w:t>
                  </w:r>
                  <w:r>
                    <w:rPr>
                      <w:kern w:val="0"/>
                      <w:szCs w:val="21"/>
                    </w:rPr>
                    <w:t xml:space="preserve"> 4754-2017</w:t>
                  </w:r>
                  <w:r>
                    <w:rPr>
                      <w:rFonts w:hint="eastAsia"/>
                      <w:kern w:val="0"/>
                      <w:szCs w:val="21"/>
                    </w:rPr>
                    <w:t xml:space="preserve">），行业分类属 </w:t>
                  </w:r>
                  <w:r>
                    <w:rPr>
                      <w:rFonts w:hint="eastAsia"/>
                      <w:szCs w:val="21"/>
                    </w:rPr>
                    <w:t>C3099 其它非金属矿物制品制造，项目运营期建设单位向周边地区购买建筑施工场地开挖出的砂石含量大于80%的砂石土作为生产原料，项目不单独设置矿权进行土砂石开采。</w:t>
                  </w:r>
                </w:p>
              </w:tc>
              <w:tc>
                <w:tcPr>
                  <w:tcW w:w="825" w:type="dxa"/>
                  <w:vAlign w:val="center"/>
                </w:tcPr>
                <w:p>
                  <w:pPr>
                    <w:autoSpaceDE w:val="0"/>
                    <w:autoSpaceDN w:val="0"/>
                    <w:adjustRightInd w:val="0"/>
                    <w:snapToGrid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vAlign w:val="center"/>
                </w:tcPr>
                <w:p>
                  <w:pPr>
                    <w:autoSpaceDE w:val="0"/>
                    <w:autoSpaceDN w:val="0"/>
                    <w:adjustRightInd w:val="0"/>
                    <w:snapToGrid w:val="0"/>
                    <w:jc w:val="center"/>
                    <w:rPr>
                      <w:kern w:val="0"/>
                      <w:szCs w:val="21"/>
                    </w:rPr>
                  </w:pPr>
                </w:p>
              </w:tc>
              <w:tc>
                <w:tcPr>
                  <w:tcW w:w="651" w:type="dxa"/>
                  <w:vMerge w:val="restart"/>
                  <w:vAlign w:val="center"/>
                </w:tcPr>
                <w:p>
                  <w:pPr>
                    <w:autoSpaceDE w:val="0"/>
                    <w:autoSpaceDN w:val="0"/>
                    <w:adjustRightInd w:val="0"/>
                    <w:snapToGrid w:val="0"/>
                    <w:jc w:val="center"/>
                    <w:rPr>
                      <w:kern w:val="0"/>
                      <w:szCs w:val="21"/>
                    </w:rPr>
                  </w:pPr>
                  <w:r>
                    <w:rPr>
                      <w:kern w:val="0"/>
                      <w:szCs w:val="21"/>
                    </w:rPr>
                    <w:t>污染物排放管控</w:t>
                  </w:r>
                </w:p>
              </w:tc>
              <w:tc>
                <w:tcPr>
                  <w:tcW w:w="2410" w:type="dxa"/>
                  <w:vAlign w:val="center"/>
                </w:tcPr>
                <w:p>
                  <w:pPr>
                    <w:autoSpaceDE w:val="0"/>
                    <w:autoSpaceDN w:val="0"/>
                    <w:adjustRightInd w:val="0"/>
                    <w:snapToGrid w:val="0"/>
                    <w:rPr>
                      <w:kern w:val="0"/>
                      <w:szCs w:val="21"/>
                    </w:rPr>
                  </w:pPr>
                  <w:r>
                    <w:rPr>
                      <w:kern w:val="0"/>
                      <w:szCs w:val="21"/>
                    </w:rPr>
                    <w:t>工业园区外各类企业要加强环保设施运行维护管理，确保污染物达标排放。</w:t>
                  </w:r>
                </w:p>
              </w:tc>
              <w:tc>
                <w:tcPr>
                  <w:tcW w:w="3501" w:type="dxa"/>
                  <w:vAlign w:val="center"/>
                </w:tcPr>
                <w:p>
                  <w:pPr>
                    <w:autoSpaceDE w:val="0"/>
                    <w:autoSpaceDN w:val="0"/>
                    <w:adjustRightInd w:val="0"/>
                    <w:snapToGrid w:val="0"/>
                    <w:rPr>
                      <w:kern w:val="0"/>
                      <w:szCs w:val="21"/>
                    </w:rPr>
                  </w:pPr>
                  <w:r>
                    <w:rPr>
                      <w:kern w:val="0"/>
                      <w:szCs w:val="21"/>
                    </w:rPr>
                    <w:t>项目选址位于州维西傈僳族自治县白济汛乡下笼嘎，不属于维西县工业园区</w:t>
                  </w:r>
                  <w:r>
                    <w:rPr>
                      <w:rFonts w:hint="eastAsia"/>
                      <w:kern w:val="0"/>
                      <w:szCs w:val="21"/>
                    </w:rPr>
                    <w:t>范围</w:t>
                  </w:r>
                  <w:r>
                    <w:rPr>
                      <w:kern w:val="0"/>
                      <w:szCs w:val="21"/>
                    </w:rPr>
                    <w:t>内。项目运营期将按照国家及地方相关环保要求从严设计建设各项污染物防措施，确保项目建设运营过程中各污染物达标排放。</w:t>
                  </w:r>
                </w:p>
              </w:tc>
              <w:tc>
                <w:tcPr>
                  <w:tcW w:w="825" w:type="dxa"/>
                  <w:vAlign w:val="center"/>
                </w:tcPr>
                <w:p>
                  <w:pPr>
                    <w:autoSpaceDE w:val="0"/>
                    <w:autoSpaceDN w:val="0"/>
                    <w:adjustRightInd w:val="0"/>
                    <w:snapToGrid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vAlign w:val="center"/>
                </w:tcPr>
                <w:p>
                  <w:pPr>
                    <w:autoSpaceDE w:val="0"/>
                    <w:autoSpaceDN w:val="0"/>
                    <w:adjustRightInd w:val="0"/>
                    <w:snapToGrid w:val="0"/>
                    <w:jc w:val="center"/>
                    <w:rPr>
                      <w:kern w:val="0"/>
                      <w:szCs w:val="21"/>
                    </w:rPr>
                  </w:pPr>
                </w:p>
              </w:tc>
              <w:tc>
                <w:tcPr>
                  <w:tcW w:w="651" w:type="dxa"/>
                  <w:vMerge w:val="continue"/>
                  <w:vAlign w:val="center"/>
                </w:tcPr>
                <w:p>
                  <w:pPr>
                    <w:autoSpaceDE w:val="0"/>
                    <w:autoSpaceDN w:val="0"/>
                    <w:adjustRightInd w:val="0"/>
                    <w:snapToGrid w:val="0"/>
                    <w:jc w:val="center"/>
                    <w:rPr>
                      <w:kern w:val="0"/>
                      <w:szCs w:val="21"/>
                    </w:rPr>
                  </w:pPr>
                </w:p>
              </w:tc>
              <w:tc>
                <w:tcPr>
                  <w:tcW w:w="2410" w:type="dxa"/>
                  <w:vAlign w:val="center"/>
                </w:tcPr>
                <w:p>
                  <w:pPr>
                    <w:autoSpaceDE w:val="0"/>
                    <w:autoSpaceDN w:val="0"/>
                    <w:adjustRightInd w:val="0"/>
                    <w:snapToGrid w:val="0"/>
                    <w:rPr>
                      <w:kern w:val="0"/>
                      <w:szCs w:val="21"/>
                    </w:rPr>
                  </w:pPr>
                  <w:r>
                    <w:rPr>
                      <w:kern w:val="0"/>
                      <w:szCs w:val="21"/>
                    </w:rPr>
                    <w:t>禁止在碧塔海、属都湖、桑那水库和小中甸水库等区域设置入湖（河）排污口。</w:t>
                  </w:r>
                </w:p>
              </w:tc>
              <w:tc>
                <w:tcPr>
                  <w:tcW w:w="3501" w:type="dxa"/>
                  <w:vAlign w:val="center"/>
                </w:tcPr>
                <w:p>
                  <w:pPr>
                    <w:autoSpaceDE w:val="0"/>
                    <w:autoSpaceDN w:val="0"/>
                    <w:adjustRightInd w:val="0"/>
                    <w:snapToGrid w:val="0"/>
                    <w:rPr>
                      <w:kern w:val="0"/>
                      <w:szCs w:val="21"/>
                    </w:rPr>
                  </w:pPr>
                  <w:r>
                    <w:rPr>
                      <w:kern w:val="0"/>
                      <w:szCs w:val="21"/>
                    </w:rPr>
                    <w:t>项目选址位于维西傈僳族自治县白济汛乡下笼嘎，选址周边主要地表水体为</w:t>
                  </w:r>
                  <w:r>
                    <w:rPr>
                      <w:rFonts w:hint="eastAsia"/>
                      <w:kern w:val="0"/>
                      <w:szCs w:val="21"/>
                    </w:rPr>
                    <w:t>东侧约</w:t>
                  </w:r>
                  <w:r>
                    <w:rPr>
                      <w:kern w:val="0"/>
                      <w:szCs w:val="21"/>
                    </w:rPr>
                    <w:t>180</w:t>
                  </w:r>
                  <w:r>
                    <w:rPr>
                      <w:rFonts w:hint="eastAsia"/>
                      <w:kern w:val="0"/>
                      <w:szCs w:val="21"/>
                    </w:rPr>
                    <w:t>m的澜沧江</w:t>
                  </w:r>
                  <w:r>
                    <w:rPr>
                      <w:kern w:val="0"/>
                      <w:szCs w:val="21"/>
                    </w:rPr>
                    <w:t>，不涉及碧塔海、属都湖、桑那水库和小中甸水库。项目运营期生产废水和生活废水经合理收集处置后进行回用，不向外环境设置污水排放口。</w:t>
                  </w:r>
                </w:p>
              </w:tc>
              <w:tc>
                <w:tcPr>
                  <w:tcW w:w="825" w:type="dxa"/>
                  <w:vAlign w:val="center"/>
                </w:tcPr>
                <w:p>
                  <w:pPr>
                    <w:autoSpaceDE w:val="0"/>
                    <w:autoSpaceDN w:val="0"/>
                    <w:adjustRightInd w:val="0"/>
                    <w:snapToGrid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vAlign w:val="center"/>
                </w:tcPr>
                <w:p>
                  <w:pPr>
                    <w:autoSpaceDE w:val="0"/>
                    <w:autoSpaceDN w:val="0"/>
                    <w:adjustRightInd w:val="0"/>
                    <w:snapToGrid w:val="0"/>
                    <w:jc w:val="center"/>
                    <w:rPr>
                      <w:kern w:val="0"/>
                      <w:szCs w:val="21"/>
                    </w:rPr>
                  </w:pPr>
                </w:p>
              </w:tc>
              <w:tc>
                <w:tcPr>
                  <w:tcW w:w="651" w:type="dxa"/>
                  <w:vAlign w:val="center"/>
                </w:tcPr>
                <w:p>
                  <w:pPr>
                    <w:autoSpaceDE w:val="0"/>
                    <w:autoSpaceDN w:val="0"/>
                    <w:adjustRightInd w:val="0"/>
                    <w:snapToGrid w:val="0"/>
                    <w:jc w:val="center"/>
                    <w:rPr>
                      <w:kern w:val="0"/>
                      <w:szCs w:val="21"/>
                    </w:rPr>
                  </w:pPr>
                  <w:r>
                    <w:rPr>
                      <w:kern w:val="0"/>
                      <w:szCs w:val="21"/>
                    </w:rPr>
                    <w:t>环境风险防控</w:t>
                  </w:r>
                </w:p>
              </w:tc>
              <w:tc>
                <w:tcPr>
                  <w:tcW w:w="2410" w:type="dxa"/>
                  <w:vAlign w:val="center"/>
                </w:tcPr>
                <w:p>
                  <w:pPr>
                    <w:autoSpaceDE w:val="0"/>
                    <w:autoSpaceDN w:val="0"/>
                    <w:adjustRightInd w:val="0"/>
                    <w:snapToGrid w:val="0"/>
                    <w:rPr>
                      <w:kern w:val="0"/>
                      <w:szCs w:val="21"/>
                    </w:rPr>
                  </w:pPr>
                  <w:r>
                    <w:rPr>
                      <w:kern w:val="0"/>
                      <w:szCs w:val="21"/>
                    </w:rPr>
                    <w:t>加强医疗、电站和汽修店等危险废物产生源监控，严格依法依规收集处理危险废物。</w:t>
                  </w:r>
                </w:p>
              </w:tc>
              <w:tc>
                <w:tcPr>
                  <w:tcW w:w="3501" w:type="dxa"/>
                  <w:vAlign w:val="center"/>
                </w:tcPr>
                <w:p>
                  <w:pPr>
                    <w:autoSpaceDE w:val="0"/>
                    <w:autoSpaceDN w:val="0"/>
                    <w:adjustRightInd w:val="0"/>
                    <w:snapToGrid w:val="0"/>
                    <w:rPr>
                      <w:kern w:val="0"/>
                      <w:szCs w:val="21"/>
                    </w:rPr>
                  </w:pPr>
                  <w:r>
                    <w:rPr>
                      <w:kern w:val="0"/>
                      <w:szCs w:val="21"/>
                    </w:rPr>
                    <w:t>根据项目特性分析，生产运营期主要危险废物为废矿物油，</w:t>
                  </w:r>
                  <w:r>
                    <w:rPr>
                      <w:rFonts w:hint="eastAsia"/>
                      <w:kern w:val="0"/>
                      <w:szCs w:val="21"/>
                    </w:rPr>
                    <w:t>环评要求</w:t>
                  </w:r>
                  <w:r>
                    <w:rPr>
                      <w:kern w:val="0"/>
                      <w:szCs w:val="21"/>
                    </w:rPr>
                    <w:t>按照危险废物贮存场所相关要求规划设计</w:t>
                  </w:r>
                  <w:r>
                    <w:rPr>
                      <w:rFonts w:hint="eastAsia"/>
                      <w:kern w:val="0"/>
                      <w:szCs w:val="21"/>
                    </w:rPr>
                    <w:t>5</w:t>
                  </w:r>
                  <w:r>
                    <w:rPr>
                      <w:kern w:val="0"/>
                      <w:szCs w:val="21"/>
                    </w:rPr>
                    <w:t>m²危废暂存间，并要求将危险废物委托相关资质单位进行清运。</w:t>
                  </w:r>
                </w:p>
              </w:tc>
              <w:tc>
                <w:tcPr>
                  <w:tcW w:w="825" w:type="dxa"/>
                  <w:vAlign w:val="center"/>
                </w:tcPr>
                <w:p>
                  <w:pPr>
                    <w:autoSpaceDE w:val="0"/>
                    <w:autoSpaceDN w:val="0"/>
                    <w:adjustRightInd w:val="0"/>
                    <w:snapToGrid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vAlign w:val="center"/>
                </w:tcPr>
                <w:p>
                  <w:pPr>
                    <w:autoSpaceDE w:val="0"/>
                    <w:autoSpaceDN w:val="0"/>
                    <w:adjustRightInd w:val="0"/>
                    <w:snapToGrid w:val="0"/>
                    <w:jc w:val="center"/>
                    <w:rPr>
                      <w:kern w:val="0"/>
                      <w:szCs w:val="21"/>
                    </w:rPr>
                  </w:pPr>
                </w:p>
              </w:tc>
              <w:tc>
                <w:tcPr>
                  <w:tcW w:w="651" w:type="dxa"/>
                  <w:vAlign w:val="center"/>
                </w:tcPr>
                <w:p>
                  <w:pPr>
                    <w:autoSpaceDE w:val="0"/>
                    <w:autoSpaceDN w:val="0"/>
                    <w:adjustRightInd w:val="0"/>
                    <w:snapToGrid w:val="0"/>
                    <w:jc w:val="center"/>
                    <w:rPr>
                      <w:kern w:val="0"/>
                      <w:szCs w:val="21"/>
                    </w:rPr>
                  </w:pPr>
                  <w:r>
                    <w:rPr>
                      <w:kern w:val="0"/>
                      <w:szCs w:val="21"/>
                    </w:rPr>
                    <w:t>资源开发效率要求</w:t>
                  </w:r>
                </w:p>
              </w:tc>
              <w:tc>
                <w:tcPr>
                  <w:tcW w:w="2410" w:type="dxa"/>
                  <w:vAlign w:val="center"/>
                </w:tcPr>
                <w:p>
                  <w:pPr>
                    <w:autoSpaceDE w:val="0"/>
                    <w:autoSpaceDN w:val="0"/>
                    <w:adjustRightInd w:val="0"/>
                    <w:snapToGrid w:val="0"/>
                    <w:rPr>
                      <w:kern w:val="0"/>
                      <w:szCs w:val="21"/>
                    </w:rPr>
                  </w:pPr>
                  <w:r>
                    <w:rPr>
                      <w:kern w:val="0"/>
                      <w:szCs w:val="21"/>
                    </w:rPr>
                    <w:t>对水资源依法实行取水许可制度和有偿使用制度，开发、利用水资源，应当兼顾生态环境用水需要。</w:t>
                  </w:r>
                </w:p>
              </w:tc>
              <w:tc>
                <w:tcPr>
                  <w:tcW w:w="3501" w:type="dxa"/>
                  <w:vAlign w:val="center"/>
                </w:tcPr>
                <w:p>
                  <w:pPr>
                    <w:autoSpaceDE w:val="0"/>
                    <w:autoSpaceDN w:val="0"/>
                    <w:adjustRightInd w:val="0"/>
                    <w:snapToGrid w:val="0"/>
                    <w:rPr>
                      <w:kern w:val="0"/>
                      <w:szCs w:val="21"/>
                    </w:rPr>
                  </w:pPr>
                  <w:r>
                    <w:rPr>
                      <w:kern w:val="0"/>
                      <w:szCs w:val="21"/>
                    </w:rPr>
                    <w:t>项目建设运营期用水</w:t>
                  </w:r>
                  <w:r>
                    <w:rPr>
                      <w:rFonts w:hint="eastAsia"/>
                      <w:kern w:val="0"/>
                      <w:szCs w:val="21"/>
                    </w:rPr>
                    <w:t>由附近山泉水引入，用水不会对区域水资源利用及生态用水造成冲击。</w:t>
                  </w:r>
                </w:p>
              </w:tc>
              <w:tc>
                <w:tcPr>
                  <w:tcW w:w="825" w:type="dxa"/>
                  <w:vAlign w:val="center"/>
                </w:tcPr>
                <w:p>
                  <w:pPr>
                    <w:autoSpaceDE w:val="0"/>
                    <w:autoSpaceDN w:val="0"/>
                    <w:adjustRightInd w:val="0"/>
                    <w:snapToGrid w:val="0"/>
                    <w:jc w:val="center"/>
                    <w:rPr>
                      <w:kern w:val="0"/>
                      <w:szCs w:val="21"/>
                    </w:rPr>
                  </w:pPr>
                  <w:r>
                    <w:rPr>
                      <w:kern w:val="0"/>
                      <w:szCs w:val="21"/>
                    </w:rPr>
                    <w:t>符合</w:t>
                  </w:r>
                </w:p>
              </w:tc>
            </w:tr>
            <w:bookmarkEnd w:id="11"/>
            <w:bookmarkEnd w:id="13"/>
          </w:tbl>
          <w:p>
            <w:pPr>
              <w:spacing w:line="360" w:lineRule="auto"/>
              <w:rPr>
                <w:rFonts w:ascii="黑体" w:hAnsi="黑体" w:eastAsia="黑体"/>
                <w:b/>
                <w:bCs/>
                <w:kern w:val="0"/>
                <w:sz w:val="24"/>
              </w:rPr>
            </w:pPr>
            <w:r>
              <w:rPr>
                <w:rFonts w:hint="eastAsia" w:ascii="黑体" w:hAnsi="黑体" w:eastAsia="黑体"/>
                <w:b/>
                <w:bCs/>
                <w:kern w:val="0"/>
                <w:sz w:val="24"/>
              </w:rPr>
              <w:t>（二）与《云南省长江经济带发展负面清单指南实施细则（试行，2022年版）》符合性分析</w:t>
            </w:r>
          </w:p>
          <w:p>
            <w:pPr>
              <w:pStyle w:val="3"/>
              <w:spacing w:after="0" w:line="360" w:lineRule="auto"/>
              <w:ind w:firstLine="480" w:firstLineChars="200"/>
              <w:rPr>
                <w:sz w:val="24"/>
              </w:rPr>
            </w:pPr>
            <w:r>
              <w:rPr>
                <w:rFonts w:hint="eastAsia"/>
                <w:sz w:val="24"/>
              </w:rPr>
              <w:t>为深入贯彻落实习近平总书记关于推动长江经济带发展的重要讲话和指示批示精神，认真落实长江保护法，根据《长江经济带发展负面清单指南（试行，2022年版）》（长江办〔2022〕7号），省发展改革委会同省级有关部门编制完成《云南省长江经济带发展负面清单指南实施细则（试行，2022年版）》，本项目与其相符性分析如下：</w:t>
            </w:r>
          </w:p>
          <w:p>
            <w:pPr>
              <w:jc w:val="center"/>
              <w:rPr>
                <w:b/>
                <w:bCs/>
                <w:sz w:val="24"/>
              </w:rPr>
            </w:pPr>
            <w:r>
              <w:rPr>
                <w:rFonts w:hint="eastAsia"/>
                <w:b/>
                <w:bCs/>
                <w:sz w:val="24"/>
              </w:rPr>
              <w:t>表1</w:t>
            </w:r>
            <w:r>
              <w:rPr>
                <w:b/>
                <w:bCs/>
                <w:sz w:val="24"/>
              </w:rPr>
              <w:t xml:space="preserve">.2-1  </w:t>
            </w:r>
            <w:r>
              <w:rPr>
                <w:rFonts w:hint="eastAsia"/>
                <w:b/>
                <w:bCs/>
                <w:sz w:val="24"/>
              </w:rPr>
              <w:t>与《云南省长江经济带发展负面清单指南实施细则》符合性分析</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4285"/>
              <w:gridCol w:w="2413"/>
              <w:gridCol w:w="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Align w:val="center"/>
                </w:tcPr>
                <w:p>
                  <w:pPr>
                    <w:autoSpaceDE w:val="0"/>
                    <w:autoSpaceDN w:val="0"/>
                    <w:adjustRightInd w:val="0"/>
                    <w:snapToGrid w:val="0"/>
                    <w:jc w:val="center"/>
                    <w:rPr>
                      <w:b/>
                      <w:bCs/>
                      <w:kern w:val="0"/>
                      <w:szCs w:val="21"/>
                    </w:rPr>
                  </w:pPr>
                  <w:r>
                    <w:rPr>
                      <w:b/>
                      <w:bCs/>
                      <w:kern w:val="0"/>
                      <w:szCs w:val="21"/>
                    </w:rPr>
                    <w:t>序号</w:t>
                  </w:r>
                </w:p>
              </w:tc>
              <w:tc>
                <w:tcPr>
                  <w:tcW w:w="4285" w:type="dxa"/>
                  <w:vAlign w:val="center"/>
                </w:tcPr>
                <w:p>
                  <w:pPr>
                    <w:autoSpaceDE w:val="0"/>
                    <w:autoSpaceDN w:val="0"/>
                    <w:adjustRightInd w:val="0"/>
                    <w:snapToGrid w:val="0"/>
                    <w:jc w:val="center"/>
                    <w:rPr>
                      <w:b/>
                      <w:bCs/>
                      <w:kern w:val="0"/>
                      <w:szCs w:val="21"/>
                    </w:rPr>
                  </w:pPr>
                  <w:r>
                    <w:rPr>
                      <w:b/>
                      <w:bCs/>
                      <w:kern w:val="0"/>
                      <w:szCs w:val="21"/>
                    </w:rPr>
                    <w:t>细则要求</w:t>
                  </w:r>
                </w:p>
              </w:tc>
              <w:tc>
                <w:tcPr>
                  <w:tcW w:w="2413" w:type="dxa"/>
                  <w:vAlign w:val="center"/>
                </w:tcPr>
                <w:p>
                  <w:pPr>
                    <w:autoSpaceDE w:val="0"/>
                    <w:autoSpaceDN w:val="0"/>
                    <w:adjustRightInd w:val="0"/>
                    <w:snapToGrid w:val="0"/>
                    <w:jc w:val="center"/>
                    <w:rPr>
                      <w:b/>
                      <w:bCs/>
                      <w:kern w:val="0"/>
                      <w:szCs w:val="21"/>
                    </w:rPr>
                  </w:pPr>
                  <w:r>
                    <w:rPr>
                      <w:b/>
                      <w:bCs/>
                      <w:kern w:val="0"/>
                      <w:szCs w:val="21"/>
                    </w:rPr>
                    <w:t>项目情况</w:t>
                  </w:r>
                </w:p>
              </w:tc>
              <w:tc>
                <w:tcPr>
                  <w:tcW w:w="638" w:type="dxa"/>
                  <w:vAlign w:val="center"/>
                </w:tcPr>
                <w:p>
                  <w:pPr>
                    <w:autoSpaceDE w:val="0"/>
                    <w:autoSpaceDN w:val="0"/>
                    <w:adjustRightInd w:val="0"/>
                    <w:snapToGrid w:val="0"/>
                    <w:jc w:val="center"/>
                    <w:rPr>
                      <w:b/>
                      <w:bCs/>
                      <w:kern w:val="0"/>
                      <w:szCs w:val="21"/>
                    </w:rPr>
                  </w:pPr>
                  <w:r>
                    <w:rPr>
                      <w:b/>
                      <w:bCs/>
                      <w:kern w:val="0"/>
                      <w:szCs w:val="21"/>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Align w:val="center"/>
                </w:tcPr>
                <w:p>
                  <w:pPr>
                    <w:autoSpaceDE w:val="0"/>
                    <w:autoSpaceDN w:val="0"/>
                    <w:adjustRightInd w:val="0"/>
                    <w:snapToGrid w:val="0"/>
                    <w:jc w:val="center"/>
                    <w:rPr>
                      <w:kern w:val="0"/>
                      <w:szCs w:val="21"/>
                    </w:rPr>
                  </w:pPr>
                  <w:r>
                    <w:rPr>
                      <w:kern w:val="0"/>
                      <w:szCs w:val="21"/>
                    </w:rPr>
                    <w:t>1</w:t>
                  </w:r>
                </w:p>
              </w:tc>
              <w:tc>
                <w:tcPr>
                  <w:tcW w:w="4285" w:type="dxa"/>
                  <w:vAlign w:val="center"/>
                </w:tcPr>
                <w:p>
                  <w:pPr>
                    <w:autoSpaceDE w:val="0"/>
                    <w:autoSpaceDN w:val="0"/>
                    <w:adjustRightInd w:val="0"/>
                    <w:snapToGrid w:val="0"/>
                    <w:rPr>
                      <w:kern w:val="0"/>
                      <w:szCs w:val="21"/>
                    </w:rPr>
                  </w:pPr>
                  <w:r>
                    <w:rPr>
                      <w:kern w:val="0"/>
                      <w:szCs w:val="21"/>
                    </w:rPr>
                    <w:t>禁止在生态保护红线范围内投资建设项目，生态保护红线内、自然保护地核心保护区原则上禁止人为活动；其他区域严格禁止开发性、生产性建设活动。</w:t>
                  </w:r>
                  <w:r>
                    <w:rPr>
                      <w:szCs w:val="21"/>
                    </w:rPr>
                    <w:t>除国家重大战略资源勘查项目、生态保护修复和环境治理项目、重大基础设施项目、军事国防项目以及农牧民基本生产生活等必要的民生项目以外的项目。生态保护红线原则上按禁止开发区域的要求进行管理外，仅允许对生态功能不造成破坏的有限人为活动。</w:t>
                  </w:r>
                </w:p>
              </w:tc>
              <w:tc>
                <w:tcPr>
                  <w:tcW w:w="2413" w:type="dxa"/>
                  <w:vMerge w:val="restart"/>
                  <w:vAlign w:val="center"/>
                </w:tcPr>
                <w:p>
                  <w:pPr>
                    <w:autoSpaceDE w:val="0"/>
                    <w:autoSpaceDN w:val="0"/>
                    <w:adjustRightInd w:val="0"/>
                    <w:snapToGrid w:val="0"/>
                    <w:rPr>
                      <w:kern w:val="0"/>
                      <w:szCs w:val="21"/>
                    </w:rPr>
                  </w:pPr>
                  <w:r>
                    <w:rPr>
                      <w:rFonts w:hint="eastAsia"/>
                      <w:kern w:val="0"/>
                      <w:szCs w:val="21"/>
                    </w:rPr>
                    <w:t>本项目选址位于维西傈僳族自治县白济汛乡下笼嘎，不占压基本农田及维西县生态保护红线（详见</w:t>
                  </w:r>
                  <w:r>
                    <w:rPr>
                      <w:rFonts w:hint="eastAsia"/>
                      <w:b/>
                      <w:kern w:val="0"/>
                      <w:szCs w:val="21"/>
                      <w:u w:val="single"/>
                    </w:rPr>
                    <w:t>附件</w:t>
                  </w:r>
                  <w:r>
                    <w:rPr>
                      <w:b/>
                      <w:kern w:val="0"/>
                      <w:szCs w:val="21"/>
                      <w:u w:val="single"/>
                    </w:rPr>
                    <w:t>4</w:t>
                  </w:r>
                  <w:r>
                    <w:rPr>
                      <w:rFonts w:hint="eastAsia"/>
                      <w:kern w:val="0"/>
                      <w:szCs w:val="21"/>
                    </w:rPr>
                    <w:t>）。目前建设单位已办理完结农用地转生产用地相关手续，项目用地不涉及饮用水源地保护区。项目运营期车辆清洗废水、洗砂生产废水、生活污水经收集沉淀处理后回用于洗砂工段，不外排；雨天场地初期雨水经收集后作为洗砂用水回用，不外排。综上分析，项目运营期生产生活污水经合理收集后回用，不向外环境排放，不会对区域地表水体造成太大影响。项目区距东侧澜沧江约18</w:t>
                  </w:r>
                  <w:r>
                    <w:rPr>
                      <w:kern w:val="0"/>
                      <w:szCs w:val="21"/>
                    </w:rPr>
                    <w:t>0</w:t>
                  </w:r>
                  <w:r>
                    <w:rPr>
                      <w:rFonts w:hint="eastAsia"/>
                      <w:kern w:val="0"/>
                      <w:szCs w:val="21"/>
                    </w:rPr>
                    <w:t>m，其不属于长江流域，不涉及长江</w:t>
                  </w:r>
                  <w:r>
                    <w:rPr>
                      <w:kern w:val="0"/>
                      <w:szCs w:val="21"/>
                    </w:rPr>
                    <w:t>岸线保护区和保留区</w:t>
                  </w:r>
                  <w:r>
                    <w:rPr>
                      <w:rFonts w:hint="eastAsia"/>
                      <w:kern w:val="0"/>
                      <w:szCs w:val="21"/>
                    </w:rPr>
                    <w:t>。</w:t>
                  </w:r>
                </w:p>
              </w:tc>
              <w:tc>
                <w:tcPr>
                  <w:tcW w:w="638" w:type="dxa"/>
                  <w:vAlign w:val="center"/>
                </w:tcPr>
                <w:p>
                  <w:pPr>
                    <w:autoSpaceDE w:val="0"/>
                    <w:autoSpaceDN w:val="0"/>
                    <w:adjustRightInd w:val="0"/>
                    <w:snapToGrid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Align w:val="center"/>
                </w:tcPr>
                <w:p>
                  <w:pPr>
                    <w:autoSpaceDE w:val="0"/>
                    <w:autoSpaceDN w:val="0"/>
                    <w:adjustRightInd w:val="0"/>
                    <w:snapToGrid w:val="0"/>
                    <w:jc w:val="center"/>
                    <w:rPr>
                      <w:kern w:val="0"/>
                      <w:szCs w:val="21"/>
                    </w:rPr>
                  </w:pPr>
                  <w:r>
                    <w:rPr>
                      <w:kern w:val="0"/>
                      <w:szCs w:val="21"/>
                    </w:rPr>
                    <w:t>2</w:t>
                  </w:r>
                </w:p>
              </w:tc>
              <w:tc>
                <w:tcPr>
                  <w:tcW w:w="4285" w:type="dxa"/>
                  <w:vAlign w:val="center"/>
                </w:tcPr>
                <w:p>
                  <w:pPr>
                    <w:autoSpaceDE w:val="0"/>
                    <w:autoSpaceDN w:val="0"/>
                    <w:adjustRightInd w:val="0"/>
                    <w:snapToGrid w:val="0"/>
                    <w:rPr>
                      <w:kern w:val="0"/>
                      <w:szCs w:val="21"/>
                    </w:rPr>
                  </w:pPr>
                  <w:r>
                    <w:rPr>
                      <w:kern w:val="0"/>
                      <w:szCs w:val="21"/>
                    </w:rPr>
                    <w:t>禁止在饮用水水源一级保护区内新建、改建、扩建与供水设施和保护水源无关的建设项目；禁止在饮用水水源一级保护区内从事网箱养殖、旅游、游泳、垂钓或者其他可能污染饮用水水体的活动。禁止在饮用水水源二级保护区内新建、改建、扩建排放污染物的建设项目；在饮用水水源二级保护区内从事网箱养殖、旅游等活动的，应当按照规定采取措施，防止污染饮用水水体。</w:t>
                  </w:r>
                </w:p>
              </w:tc>
              <w:tc>
                <w:tcPr>
                  <w:tcW w:w="2413" w:type="dxa"/>
                  <w:vMerge w:val="continue"/>
                  <w:vAlign w:val="center"/>
                </w:tcPr>
                <w:p>
                  <w:pPr>
                    <w:autoSpaceDE w:val="0"/>
                    <w:autoSpaceDN w:val="0"/>
                    <w:adjustRightInd w:val="0"/>
                    <w:snapToGrid w:val="0"/>
                    <w:rPr>
                      <w:kern w:val="0"/>
                      <w:szCs w:val="21"/>
                    </w:rPr>
                  </w:pPr>
                </w:p>
              </w:tc>
              <w:tc>
                <w:tcPr>
                  <w:tcW w:w="638" w:type="dxa"/>
                  <w:vAlign w:val="center"/>
                </w:tcPr>
                <w:p>
                  <w:pPr>
                    <w:autoSpaceDE w:val="0"/>
                    <w:autoSpaceDN w:val="0"/>
                    <w:adjustRightInd w:val="0"/>
                    <w:snapToGrid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45" w:type="dxa"/>
                  <w:vAlign w:val="center"/>
                </w:tcPr>
                <w:p>
                  <w:pPr>
                    <w:autoSpaceDE w:val="0"/>
                    <w:autoSpaceDN w:val="0"/>
                    <w:adjustRightInd w:val="0"/>
                    <w:snapToGrid w:val="0"/>
                    <w:jc w:val="center"/>
                    <w:rPr>
                      <w:kern w:val="0"/>
                      <w:szCs w:val="21"/>
                    </w:rPr>
                  </w:pPr>
                  <w:r>
                    <w:rPr>
                      <w:kern w:val="0"/>
                      <w:szCs w:val="21"/>
                    </w:rPr>
                    <w:t>3</w:t>
                  </w:r>
                </w:p>
              </w:tc>
              <w:tc>
                <w:tcPr>
                  <w:tcW w:w="4285" w:type="dxa"/>
                  <w:vAlign w:val="center"/>
                </w:tcPr>
                <w:p>
                  <w:pPr>
                    <w:autoSpaceDE w:val="0"/>
                    <w:autoSpaceDN w:val="0"/>
                    <w:adjustRightInd w:val="0"/>
                    <w:snapToGrid w:val="0"/>
                    <w:rPr>
                      <w:kern w:val="0"/>
                      <w:szCs w:val="21"/>
                    </w:rPr>
                  </w:pPr>
                  <w:r>
                    <w:rPr>
                      <w:kern w:val="0"/>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除国家明确支持的重大建设项目、军事国防类项目、交通类项目、能源类项目、水利类项目、国务院投资主管部门或国务院投资主管部门会同有关部门支持和认可的交通、能源、水利基础设施项目外，禁止在永久基本农田范围内投资建设项目。</w:t>
                  </w:r>
                </w:p>
              </w:tc>
              <w:tc>
                <w:tcPr>
                  <w:tcW w:w="2413" w:type="dxa"/>
                  <w:vMerge w:val="continue"/>
                  <w:vAlign w:val="center"/>
                </w:tcPr>
                <w:p>
                  <w:pPr>
                    <w:autoSpaceDE w:val="0"/>
                    <w:autoSpaceDN w:val="0"/>
                    <w:adjustRightInd w:val="0"/>
                    <w:snapToGrid w:val="0"/>
                    <w:rPr>
                      <w:kern w:val="0"/>
                      <w:szCs w:val="21"/>
                    </w:rPr>
                  </w:pPr>
                </w:p>
              </w:tc>
              <w:tc>
                <w:tcPr>
                  <w:tcW w:w="638" w:type="dxa"/>
                  <w:vAlign w:val="center"/>
                </w:tcPr>
                <w:p>
                  <w:pPr>
                    <w:autoSpaceDE w:val="0"/>
                    <w:autoSpaceDN w:val="0"/>
                    <w:adjustRightInd w:val="0"/>
                    <w:snapToGrid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Align w:val="center"/>
                </w:tcPr>
                <w:p>
                  <w:pPr>
                    <w:autoSpaceDE w:val="0"/>
                    <w:autoSpaceDN w:val="0"/>
                    <w:adjustRightInd w:val="0"/>
                    <w:snapToGrid w:val="0"/>
                    <w:jc w:val="center"/>
                    <w:rPr>
                      <w:kern w:val="0"/>
                      <w:szCs w:val="21"/>
                    </w:rPr>
                  </w:pPr>
                  <w:r>
                    <w:rPr>
                      <w:kern w:val="0"/>
                      <w:szCs w:val="21"/>
                    </w:rPr>
                    <w:t>4</w:t>
                  </w:r>
                </w:p>
              </w:tc>
              <w:tc>
                <w:tcPr>
                  <w:tcW w:w="4285" w:type="dxa"/>
                  <w:vAlign w:val="center"/>
                </w:tcPr>
                <w:p>
                  <w:pPr>
                    <w:autoSpaceDE w:val="0"/>
                    <w:autoSpaceDN w:val="0"/>
                    <w:adjustRightInd w:val="0"/>
                    <w:snapToGrid w:val="0"/>
                    <w:rPr>
                      <w:kern w:val="0"/>
                      <w:szCs w:val="21"/>
                    </w:rPr>
                  </w:pPr>
                  <w:r>
                    <w:rPr>
                      <w:kern w:val="0"/>
                      <w:szCs w:val="21"/>
                    </w:rPr>
                    <w:t>禁止新建、扩建法律法规和相关政策明令禁止的落后产能项目。禁止新建、扩建不符合国家产能置换要求的严重过剩产能行业的项目。禁止新建、扩建不符合要求的高耗能高排放项目。禁止建设高毒高残留以及对环境影响大的农药原药生产装置，严格控制尿素、磷铵、电石、焦炭、黄磷、烧碱、纯碱、聚氯乙烯等行业新增产能。</w:t>
                  </w:r>
                </w:p>
              </w:tc>
              <w:tc>
                <w:tcPr>
                  <w:tcW w:w="2413" w:type="dxa"/>
                  <w:vAlign w:val="center"/>
                </w:tcPr>
                <w:p>
                  <w:pPr>
                    <w:autoSpaceDE w:val="0"/>
                    <w:autoSpaceDN w:val="0"/>
                    <w:adjustRightInd w:val="0"/>
                    <w:snapToGrid w:val="0"/>
                    <w:rPr>
                      <w:rFonts w:cs="宋体"/>
                      <w:bCs/>
                      <w:szCs w:val="21"/>
                    </w:rPr>
                  </w:pPr>
                  <w:r>
                    <w:rPr>
                      <w:rFonts w:hint="eastAsia"/>
                      <w:kern w:val="0"/>
                      <w:szCs w:val="21"/>
                    </w:rPr>
                    <w:t>对照《国民经济行业分类》（GB</w:t>
                  </w:r>
                  <w:r>
                    <w:rPr>
                      <w:kern w:val="0"/>
                      <w:szCs w:val="21"/>
                    </w:rPr>
                    <w:t>/</w:t>
                  </w:r>
                  <w:r>
                    <w:rPr>
                      <w:rFonts w:hint="eastAsia"/>
                      <w:kern w:val="0"/>
                      <w:szCs w:val="21"/>
                    </w:rPr>
                    <w:t>T</w:t>
                  </w:r>
                  <w:r>
                    <w:rPr>
                      <w:kern w:val="0"/>
                      <w:szCs w:val="21"/>
                    </w:rPr>
                    <w:t xml:space="preserve"> 4754-2017</w:t>
                  </w:r>
                  <w:r>
                    <w:rPr>
                      <w:rFonts w:hint="eastAsia"/>
                      <w:kern w:val="0"/>
                      <w:szCs w:val="21"/>
                    </w:rPr>
                    <w:t xml:space="preserve">），本项目行业分类属 </w:t>
                  </w:r>
                  <w:r>
                    <w:rPr>
                      <w:rFonts w:hint="eastAsia"/>
                      <w:szCs w:val="21"/>
                    </w:rPr>
                    <w:t>C3099 其它非金属矿物制品制造，</w:t>
                  </w:r>
                  <w:r>
                    <w:rPr>
                      <w:rFonts w:hint="eastAsia" w:cs="宋体"/>
                      <w:bCs/>
                      <w:szCs w:val="21"/>
                    </w:rPr>
                    <w:t>项目建设符合产业政策，只要按照环评要求完善项目污染物防治措施，运营期各污染物可做到达标排放，符合排放标准等相关管理规定。</w:t>
                  </w:r>
                </w:p>
              </w:tc>
              <w:tc>
                <w:tcPr>
                  <w:tcW w:w="638" w:type="dxa"/>
                  <w:vAlign w:val="center"/>
                </w:tcPr>
                <w:p>
                  <w:pPr>
                    <w:autoSpaceDE w:val="0"/>
                    <w:autoSpaceDN w:val="0"/>
                    <w:adjustRightInd w:val="0"/>
                    <w:snapToGrid w:val="0"/>
                    <w:jc w:val="center"/>
                    <w:rPr>
                      <w:kern w:val="0"/>
                      <w:szCs w:val="21"/>
                    </w:rPr>
                  </w:pPr>
                  <w:r>
                    <w:rPr>
                      <w:kern w:val="0"/>
                      <w:szCs w:val="21"/>
                    </w:rPr>
                    <w:t>符合</w:t>
                  </w:r>
                </w:p>
              </w:tc>
            </w:tr>
          </w:tbl>
          <w:p>
            <w:pPr>
              <w:spacing w:line="360" w:lineRule="auto"/>
              <w:rPr>
                <w:rFonts w:ascii="黑体" w:hAnsi="黑体" w:eastAsia="黑体"/>
                <w:b/>
                <w:bCs/>
                <w:kern w:val="0"/>
                <w:sz w:val="24"/>
              </w:rPr>
            </w:pPr>
            <w:r>
              <w:rPr>
                <w:rFonts w:hint="eastAsia" w:ascii="黑体" w:hAnsi="黑体" w:eastAsia="黑体"/>
                <w:b/>
                <w:bCs/>
                <w:kern w:val="0"/>
                <w:sz w:val="24"/>
              </w:rPr>
              <w:t>（三）与《迪庆藏族自治州“十四五”生态环境保护规划》符合性分析</w:t>
            </w:r>
          </w:p>
          <w:p>
            <w:pPr>
              <w:spacing w:line="360" w:lineRule="auto"/>
              <w:ind w:firstLine="480" w:firstLineChars="200"/>
              <w:rPr>
                <w:sz w:val="24"/>
              </w:rPr>
            </w:pPr>
            <w:r>
              <w:rPr>
                <w:rFonts w:hint="eastAsia"/>
                <w:sz w:val="24"/>
              </w:rPr>
              <w:t>《迪庆藏族自治州“十四五”生态环境保护规划》（迪政办发〔2022〕52号）由迪庆藏族自治州人民政府办公室于2022年07月01日印发，本项目与其符合性分析如下：</w:t>
            </w:r>
          </w:p>
          <w:p>
            <w:pPr>
              <w:jc w:val="center"/>
              <w:rPr>
                <w:b/>
                <w:bCs/>
                <w:sz w:val="24"/>
              </w:rPr>
            </w:pPr>
            <w:r>
              <w:rPr>
                <w:rFonts w:hint="eastAsia"/>
                <w:b/>
                <w:bCs/>
                <w:sz w:val="24"/>
              </w:rPr>
              <w:t>表</w:t>
            </w:r>
            <w:r>
              <w:rPr>
                <w:b/>
                <w:bCs/>
                <w:sz w:val="24"/>
              </w:rPr>
              <w:t xml:space="preserve">1.3-1  </w:t>
            </w:r>
            <w:r>
              <w:rPr>
                <w:rFonts w:hint="eastAsia"/>
                <w:b/>
                <w:bCs/>
                <w:sz w:val="24"/>
              </w:rPr>
              <w:t>与迪庆州“十四五”生态环境保护规划符合性分析</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674"/>
              <w:gridCol w:w="3262"/>
              <w:gridCol w:w="2885"/>
              <w:gridCol w:w="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jc w:val="center"/>
                    <w:rPr>
                      <w:b/>
                      <w:bCs/>
                      <w:szCs w:val="21"/>
                    </w:rPr>
                  </w:pPr>
                  <w:r>
                    <w:rPr>
                      <w:b/>
                      <w:bCs/>
                      <w:szCs w:val="21"/>
                    </w:rPr>
                    <w:t>序号</w:t>
                  </w:r>
                </w:p>
              </w:tc>
              <w:tc>
                <w:tcPr>
                  <w:tcW w:w="3936" w:type="dxa"/>
                  <w:gridSpan w:val="2"/>
                  <w:vAlign w:val="center"/>
                </w:tcPr>
                <w:p>
                  <w:pPr>
                    <w:jc w:val="center"/>
                    <w:rPr>
                      <w:b/>
                      <w:bCs/>
                      <w:szCs w:val="21"/>
                    </w:rPr>
                  </w:pPr>
                  <w:r>
                    <w:rPr>
                      <w:b/>
                      <w:bCs/>
                      <w:szCs w:val="21"/>
                    </w:rPr>
                    <w:t>规划内容</w:t>
                  </w:r>
                </w:p>
              </w:tc>
              <w:tc>
                <w:tcPr>
                  <w:tcW w:w="2885" w:type="dxa"/>
                  <w:vAlign w:val="center"/>
                </w:tcPr>
                <w:p>
                  <w:pPr>
                    <w:jc w:val="center"/>
                    <w:rPr>
                      <w:b/>
                      <w:bCs/>
                      <w:szCs w:val="21"/>
                    </w:rPr>
                  </w:pPr>
                  <w:r>
                    <w:rPr>
                      <w:b/>
                      <w:bCs/>
                      <w:szCs w:val="21"/>
                    </w:rPr>
                    <w:t>项目情况</w:t>
                  </w:r>
                </w:p>
              </w:tc>
              <w:tc>
                <w:tcPr>
                  <w:tcW w:w="733" w:type="dxa"/>
                  <w:vAlign w:val="center"/>
                </w:tcPr>
                <w:p>
                  <w:pPr>
                    <w:jc w:val="center"/>
                    <w:rPr>
                      <w:b/>
                      <w:bCs/>
                      <w:szCs w:val="21"/>
                    </w:rPr>
                  </w:pPr>
                  <w:r>
                    <w:rPr>
                      <w:b/>
                      <w:bCs/>
                      <w:szCs w:val="21"/>
                    </w:rPr>
                    <w:t>是否</w:t>
                  </w:r>
                </w:p>
                <w:p>
                  <w:pPr>
                    <w:jc w:val="center"/>
                    <w:rPr>
                      <w:b/>
                      <w:bCs/>
                      <w:szCs w:val="21"/>
                    </w:rPr>
                  </w:pPr>
                  <w:r>
                    <w:rPr>
                      <w:b/>
                      <w:bCs/>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jc w:val="center"/>
                    <w:rPr>
                      <w:szCs w:val="21"/>
                    </w:rPr>
                  </w:pPr>
                  <w:r>
                    <w:rPr>
                      <w:szCs w:val="21"/>
                    </w:rPr>
                    <w:t>1</w:t>
                  </w:r>
                </w:p>
              </w:tc>
              <w:tc>
                <w:tcPr>
                  <w:tcW w:w="674" w:type="dxa"/>
                  <w:vAlign w:val="center"/>
                </w:tcPr>
                <w:p>
                  <w:pPr>
                    <w:rPr>
                      <w:szCs w:val="21"/>
                    </w:rPr>
                  </w:pPr>
                  <w:r>
                    <w:rPr>
                      <w:szCs w:val="21"/>
                    </w:rPr>
                    <w:t>优化产业布局，打造绿色产业体系</w:t>
                  </w:r>
                </w:p>
              </w:tc>
              <w:tc>
                <w:tcPr>
                  <w:tcW w:w="3262" w:type="dxa"/>
                  <w:vAlign w:val="center"/>
                </w:tcPr>
                <w:p>
                  <w:pPr>
                    <w:rPr>
                      <w:szCs w:val="21"/>
                    </w:rPr>
                  </w:pPr>
                  <w:r>
                    <w:rPr>
                      <w:rFonts w:hint="eastAsia"/>
                      <w:szCs w:val="21"/>
                    </w:rPr>
                    <w:t>优化产业布局，打造绿色产业体系。严格落实《迪庆州“三线一单”生态环境分区管控实施方案》和《云南省长江经济带发展负面清单指南实施细则（试行）</w:t>
                  </w:r>
                  <w:r>
                    <w:rPr>
                      <w:szCs w:val="21"/>
                    </w:rPr>
                    <w:t>》，按照空间布局约束、污染物排放管控、环境风险防控、资源利用效率等四个方面，落实优化布局、调整结构、控制规模等调控策略及导向性的环境治理要求，不断推动迪庆州产业结构优化，打造金沙江上游生态优先绿色发展的先行区。推动州内有色金属、建材、食品及酒类加工等行业升级改造，提升技术装备水平，进一步加强企业实施清洁化改造，积极引进节能和资源循环利用的新兴技术和产品，通过创新减少资源消</w:t>
                  </w:r>
                  <w:r>
                    <w:rPr>
                      <w:rFonts w:hint="eastAsia"/>
                      <w:szCs w:val="21"/>
                    </w:rPr>
                    <w:t>耗和污染物排放。</w:t>
                  </w:r>
                </w:p>
              </w:tc>
              <w:tc>
                <w:tcPr>
                  <w:tcW w:w="2885" w:type="dxa"/>
                  <w:vAlign w:val="center"/>
                </w:tcPr>
                <w:p>
                  <w:pPr>
                    <w:rPr>
                      <w:szCs w:val="21"/>
                    </w:rPr>
                  </w:pPr>
                  <w:r>
                    <w:rPr>
                      <w:rFonts w:hint="eastAsia"/>
                      <w:szCs w:val="21"/>
                    </w:rPr>
                    <w:t>根据前文分析，本项目与《迪庆州“三线一单”生态环境分区管控实施方案》和《云南省长江经济带发展负面清单指南实施细则</w:t>
                  </w:r>
                  <w:r>
                    <w:rPr>
                      <w:szCs w:val="21"/>
                    </w:rPr>
                    <w:t>&lt;试行&gt;》</w:t>
                  </w:r>
                  <w:r>
                    <w:rPr>
                      <w:rFonts w:hint="eastAsia"/>
                      <w:szCs w:val="21"/>
                    </w:rPr>
                    <w:t>相关要求符合，与国家及地方产业政策要求符合。项目属建材加工行业，运营期主要能源消耗为水和电能，当本项目水电消耗量较小，不会对区域水、电利用上线造成冲击。项目运营期生产生活废水经合理收集后回用，不设置水污染物总量控制标准，大气污染物主要为TSP，其经围挡、密闭、喷淋等措施控制后预计可达标排放。</w:t>
                  </w:r>
                </w:p>
              </w:tc>
              <w:tc>
                <w:tcPr>
                  <w:tcW w:w="733" w:type="dxa"/>
                  <w:vAlign w:val="center"/>
                </w:tcPr>
                <w:p>
                  <w:pPr>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jc w:val="center"/>
                    <w:rPr>
                      <w:szCs w:val="21"/>
                    </w:rPr>
                  </w:pPr>
                  <w:r>
                    <w:rPr>
                      <w:szCs w:val="21"/>
                    </w:rPr>
                    <w:t>2</w:t>
                  </w:r>
                </w:p>
              </w:tc>
              <w:tc>
                <w:tcPr>
                  <w:tcW w:w="674" w:type="dxa"/>
                  <w:vAlign w:val="center"/>
                </w:tcPr>
                <w:p>
                  <w:pPr>
                    <w:rPr>
                      <w:szCs w:val="21"/>
                    </w:rPr>
                  </w:pPr>
                  <w:r>
                    <w:rPr>
                      <w:rFonts w:hint="eastAsia"/>
                      <w:szCs w:val="21"/>
                    </w:rPr>
                    <w:t>优化能源结构，不断提高能源利用效率</w:t>
                  </w:r>
                </w:p>
              </w:tc>
              <w:tc>
                <w:tcPr>
                  <w:tcW w:w="3262" w:type="dxa"/>
                  <w:vAlign w:val="center"/>
                </w:tcPr>
                <w:p>
                  <w:pPr>
                    <w:rPr>
                      <w:szCs w:val="21"/>
                    </w:rPr>
                  </w:pPr>
                  <w:r>
                    <w:rPr>
                      <w:rFonts w:hint="eastAsia"/>
                      <w:szCs w:val="21"/>
                    </w:rPr>
                    <w:t>加大能源结构调整力度，落实能源消费总量和强度“双控”要求；</w:t>
                  </w:r>
                  <w:r>
                    <w:rPr>
                      <w:szCs w:val="21"/>
                    </w:rPr>
                    <w:t>大力推行太阳能、风能、生物质能、地热能等清洁能源，持续提高全州非化石能源占一次能源消费比重，争做云南省绿色能源排头兵。推进能源低碳化和节约化，积极推进煤改电、煤改气，扩大城市建成区集</w:t>
                  </w:r>
                  <w:r>
                    <w:rPr>
                      <w:rFonts w:hint="eastAsia"/>
                      <w:szCs w:val="21"/>
                    </w:rPr>
                    <w:t>中供热覆盖范围。</w:t>
                  </w:r>
                </w:p>
              </w:tc>
              <w:tc>
                <w:tcPr>
                  <w:tcW w:w="2885" w:type="dxa"/>
                  <w:vAlign w:val="center"/>
                </w:tcPr>
                <w:p>
                  <w:pPr>
                    <w:rPr>
                      <w:szCs w:val="21"/>
                    </w:rPr>
                  </w:pPr>
                  <w:r>
                    <w:rPr>
                      <w:rFonts w:hint="eastAsia"/>
                      <w:szCs w:val="21"/>
                    </w:rPr>
                    <w:t>运营期主要能源消耗为水和电能，其均有白济汛乡供给系统接入，项目建设不会对区域水、电利用上线造成冲击。项目运营使用电能进行生产加工，不涉及使用高污染、高耗能的生产设备的使用。</w:t>
                  </w:r>
                </w:p>
              </w:tc>
              <w:tc>
                <w:tcPr>
                  <w:tcW w:w="733" w:type="dxa"/>
                  <w:vAlign w:val="center"/>
                </w:tcPr>
                <w:p>
                  <w:pPr>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vAlign w:val="center"/>
                </w:tcPr>
                <w:p>
                  <w:pPr>
                    <w:jc w:val="center"/>
                    <w:rPr>
                      <w:szCs w:val="21"/>
                    </w:rPr>
                  </w:pPr>
                  <w:r>
                    <w:rPr>
                      <w:szCs w:val="21"/>
                    </w:rPr>
                    <w:t>3</w:t>
                  </w:r>
                </w:p>
              </w:tc>
              <w:tc>
                <w:tcPr>
                  <w:tcW w:w="674" w:type="dxa"/>
                  <w:vAlign w:val="center"/>
                </w:tcPr>
                <w:p>
                  <w:pPr>
                    <w:rPr>
                      <w:szCs w:val="21"/>
                    </w:rPr>
                  </w:pPr>
                  <w:r>
                    <w:rPr>
                      <w:rFonts w:hint="eastAsia"/>
                      <w:szCs w:val="21"/>
                    </w:rPr>
                    <w:t>发展绿色产业，推荐循环经济落实</w:t>
                  </w:r>
                </w:p>
              </w:tc>
              <w:tc>
                <w:tcPr>
                  <w:tcW w:w="3262" w:type="dxa"/>
                  <w:vAlign w:val="center"/>
                </w:tcPr>
                <w:p>
                  <w:pPr>
                    <w:rPr>
                      <w:szCs w:val="21"/>
                    </w:rPr>
                  </w:pPr>
                  <w:r>
                    <w:rPr>
                      <w:rFonts w:hint="eastAsia"/>
                      <w:szCs w:val="21"/>
                    </w:rPr>
                    <w:t>开展有色金属、水泥制造、食品及酒类加工制造行业的绿色化改造，促进节能、节水、减排和废物再利用。鼓励水泥制造等建材企业对生活垃圾、危险废物、矿渣等固体废弃物的资源化利用，鼓励农业和食品工业有机固体废物的资源化改造利用；</w:t>
                  </w:r>
                  <w:r>
                    <w:rPr>
                      <w:szCs w:val="21"/>
                    </w:rPr>
                    <w:t>以香格里拉产业园区为载体，实施全州产业循环补链，引进资源循环利用企业，推行资源循环式利用、企业循环式生产、产业循环式组合，形成企业之间、产业之间、地区之间的资源利用循环链。</w:t>
                  </w:r>
                </w:p>
              </w:tc>
              <w:tc>
                <w:tcPr>
                  <w:tcW w:w="2885" w:type="dxa"/>
                  <w:vAlign w:val="center"/>
                </w:tcPr>
                <w:p>
                  <w:pPr>
                    <w:rPr>
                      <w:szCs w:val="21"/>
                    </w:rPr>
                  </w:pPr>
                  <w:r>
                    <w:rPr>
                      <w:rFonts w:hint="eastAsia"/>
                      <w:szCs w:val="21"/>
                    </w:rPr>
                    <w:t>项目运营期生产废水经合理收集沉淀处理后回用于洗砂工段，不外排；生活污水经化粪池收集后回用于厂区内绿化，不外排；沉淀池污泥外售当地砖瓦制造企业作为生产原料使用；生活垃圾经收集后定期清运至区域指定生活垃圾处置点处置。综上，项目运营期可做到节能、节水、减排和废物再利用。</w:t>
                  </w:r>
                </w:p>
              </w:tc>
              <w:tc>
                <w:tcPr>
                  <w:tcW w:w="733" w:type="dxa"/>
                  <w:vAlign w:val="center"/>
                </w:tcPr>
                <w:p>
                  <w:pPr>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jc w:val="center"/>
                    <w:rPr>
                      <w:szCs w:val="21"/>
                    </w:rPr>
                  </w:pPr>
                  <w:r>
                    <w:rPr>
                      <w:szCs w:val="21"/>
                    </w:rPr>
                    <w:t>4</w:t>
                  </w:r>
                </w:p>
              </w:tc>
              <w:tc>
                <w:tcPr>
                  <w:tcW w:w="674" w:type="dxa"/>
                  <w:vAlign w:val="center"/>
                </w:tcPr>
                <w:p>
                  <w:pPr>
                    <w:rPr>
                      <w:szCs w:val="21"/>
                    </w:rPr>
                  </w:pPr>
                  <w:r>
                    <w:rPr>
                      <w:rFonts w:hint="eastAsia"/>
                      <w:szCs w:val="21"/>
                    </w:rPr>
                    <w:t>发展节水型工业</w:t>
                  </w:r>
                </w:p>
              </w:tc>
              <w:tc>
                <w:tcPr>
                  <w:tcW w:w="3262" w:type="dxa"/>
                  <w:vAlign w:val="center"/>
                </w:tcPr>
                <w:p>
                  <w:pPr>
                    <w:rPr>
                      <w:szCs w:val="21"/>
                    </w:rPr>
                  </w:pPr>
                  <w:r>
                    <w:rPr>
                      <w:rFonts w:hint="eastAsia"/>
                      <w:szCs w:val="21"/>
                    </w:rPr>
                    <w:t>推广节水工艺、技术和装备，</w:t>
                  </w:r>
                  <w:r>
                    <w:rPr>
                      <w:szCs w:val="21"/>
                    </w:rPr>
                    <w:t>促进企业废水深度处理回用，加快推进工业用水循环利用改造建设重点工程，提高工业用水循环利用率。加强企业用水管理，严格工业企业用水定额管理与总量控制，提高水资源利用效率</w:t>
                  </w:r>
                  <w:r>
                    <w:rPr>
                      <w:rFonts w:hint="eastAsia"/>
                      <w:szCs w:val="21"/>
                    </w:rPr>
                    <w:t>；</w:t>
                  </w:r>
                  <w:r>
                    <w:rPr>
                      <w:szCs w:val="21"/>
                    </w:rPr>
                    <w:t>加强工业企业取排水计量监督，要求用水和污染大户必须按照国家有关标准，配备符合要求的取水.排水计量设施。至2025年</w:t>
                  </w:r>
                  <w:r>
                    <w:rPr>
                      <w:rFonts w:hint="eastAsia"/>
                      <w:szCs w:val="21"/>
                    </w:rPr>
                    <w:t>，</w:t>
                  </w:r>
                  <w:r>
                    <w:rPr>
                      <w:szCs w:val="21"/>
                    </w:rPr>
                    <w:t>工</w:t>
                  </w:r>
                  <w:r>
                    <w:rPr>
                      <w:rFonts w:hint="eastAsia"/>
                      <w:szCs w:val="21"/>
                    </w:rPr>
                    <w:t>业</w:t>
                  </w:r>
                  <w:r>
                    <w:rPr>
                      <w:szCs w:val="21"/>
                    </w:rPr>
                    <w:t>用水重复利用率提高到95%。</w:t>
                  </w:r>
                </w:p>
              </w:tc>
              <w:tc>
                <w:tcPr>
                  <w:tcW w:w="2885" w:type="dxa"/>
                  <w:vAlign w:val="center"/>
                </w:tcPr>
                <w:p>
                  <w:pPr>
                    <w:rPr>
                      <w:szCs w:val="21"/>
                    </w:rPr>
                  </w:pPr>
                  <w:r>
                    <w:rPr>
                      <w:rFonts w:hint="eastAsia"/>
                      <w:szCs w:val="21"/>
                    </w:rPr>
                    <w:t>项目运营期生产废水经收集沉淀处理后回用于洗砂生产线，不外排，生活污水经化粪池收集后回用于项目区内绿化，不外排。项目运营期用水由附近山泉水引入，项目不属于用水和污染大户，无需设置取水、排水计量设施。运营期生产废水经收集后完全回用，重复利用率可达1</w:t>
                  </w:r>
                  <w:r>
                    <w:rPr>
                      <w:szCs w:val="21"/>
                    </w:rPr>
                    <w:t>00%</w:t>
                  </w:r>
                  <w:r>
                    <w:rPr>
                      <w:rFonts w:hint="eastAsia"/>
                      <w:szCs w:val="21"/>
                    </w:rPr>
                    <w:t>。</w:t>
                  </w:r>
                </w:p>
              </w:tc>
              <w:tc>
                <w:tcPr>
                  <w:tcW w:w="733" w:type="dxa"/>
                  <w:vAlign w:val="center"/>
                </w:tcPr>
                <w:p>
                  <w:pPr>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jc w:val="center"/>
                    <w:rPr>
                      <w:szCs w:val="21"/>
                    </w:rPr>
                  </w:pPr>
                  <w:r>
                    <w:rPr>
                      <w:szCs w:val="21"/>
                    </w:rPr>
                    <w:t>5</w:t>
                  </w:r>
                </w:p>
              </w:tc>
              <w:tc>
                <w:tcPr>
                  <w:tcW w:w="674" w:type="dxa"/>
                  <w:vAlign w:val="center"/>
                </w:tcPr>
                <w:p>
                  <w:pPr>
                    <w:rPr>
                      <w:szCs w:val="21"/>
                    </w:rPr>
                  </w:pPr>
                  <w:r>
                    <w:rPr>
                      <w:rFonts w:hint="eastAsia"/>
                      <w:szCs w:val="21"/>
                    </w:rPr>
                    <w:t>生化工业污染源综合防治，实施全面管控</w:t>
                  </w:r>
                </w:p>
              </w:tc>
              <w:tc>
                <w:tcPr>
                  <w:tcW w:w="3262" w:type="dxa"/>
                  <w:vAlign w:val="center"/>
                </w:tcPr>
                <w:p>
                  <w:pPr>
                    <w:rPr>
                      <w:szCs w:val="21"/>
                    </w:rPr>
                  </w:pPr>
                  <w:r>
                    <w:rPr>
                      <w:rFonts w:hint="eastAsia"/>
                      <w:szCs w:val="21"/>
                    </w:rPr>
                    <w:t>优化产业布局，根据迪庆州的区域定位，制订更严格的产业准入门槛，对建材、有色金属等高耗能、高污染行业的新、改、扩建项目严把审批关。加大落后产能淘汰和过剩产能压减力度，强化“散乱污”企业综合整治，</w:t>
                  </w:r>
                  <w:r>
                    <w:rPr>
                      <w:szCs w:val="21"/>
                    </w:rPr>
                    <w:t>坚决杜绝“散乱污”企业项目建设和已取缔的“散乱污”企业异地转移、死灰复燃。推动食品及酒类加工、石灰石石膏开采、水泥制造、铜矿采选、建材制造等行业清洁生产技术改造，树立升级改造行业标杆</w:t>
                  </w:r>
                  <w:r>
                    <w:rPr>
                      <w:rFonts w:hint="eastAsia"/>
                      <w:szCs w:val="21"/>
                    </w:rPr>
                    <w:t>；</w:t>
                  </w:r>
                  <w:r>
                    <w:rPr>
                      <w:szCs w:val="21"/>
                    </w:rPr>
                    <w:t>进一步管控二氧化硫、氨氮化物、颗粒物、挥发性有机物等主要污染物的排放，加强对重点行业、重点企业大气</w:t>
                  </w:r>
                  <w:r>
                    <w:rPr>
                      <w:rFonts w:hint="eastAsia"/>
                      <w:szCs w:val="21"/>
                    </w:rPr>
                    <w:t>污染物的治理和在线监测，加大重点企业日常现场监督检查力度，督促企业稳定达标排放；</w:t>
                  </w:r>
                  <w:r>
                    <w:rPr>
                      <w:szCs w:val="21"/>
                    </w:rPr>
                    <w:t>强化工业企业无组织排放管控，建立管理台账,对重点行业物料运输﹑装卸、储存和工艺过程无组织排放实施深度治理。</w:t>
                  </w:r>
                </w:p>
              </w:tc>
              <w:tc>
                <w:tcPr>
                  <w:tcW w:w="2885" w:type="dxa"/>
                  <w:vAlign w:val="center"/>
                </w:tcPr>
                <w:p>
                  <w:pPr>
                    <w:rPr>
                      <w:szCs w:val="21"/>
                    </w:rPr>
                  </w:pPr>
                  <w:r>
                    <w:rPr>
                      <w:rFonts w:hint="eastAsia"/>
                      <w:szCs w:val="21"/>
                    </w:rPr>
                    <w:t>项目运营期排放主要大气污染物为TSP，环评要求项目运营期破碎站、输送带进行密闭处理，原料及产品入棚堆放，减少项目运营期无组织扬尘扩散。</w:t>
                  </w:r>
                </w:p>
              </w:tc>
              <w:tc>
                <w:tcPr>
                  <w:tcW w:w="733" w:type="dxa"/>
                  <w:vAlign w:val="center"/>
                </w:tcPr>
                <w:p>
                  <w:pPr>
                    <w:jc w:val="center"/>
                    <w:rPr>
                      <w:szCs w:val="21"/>
                    </w:rPr>
                  </w:pPr>
                  <w:r>
                    <w:rPr>
                      <w:szCs w:val="21"/>
                    </w:rPr>
                    <w:t>符合</w:t>
                  </w:r>
                </w:p>
              </w:tc>
            </w:tr>
          </w:tbl>
          <w:p>
            <w:pPr>
              <w:spacing w:line="360" w:lineRule="auto"/>
              <w:rPr>
                <w:rFonts w:ascii="黑体" w:hAnsi="黑体" w:eastAsia="黑体"/>
                <w:b/>
                <w:bCs/>
                <w:kern w:val="0"/>
                <w:sz w:val="24"/>
              </w:rPr>
            </w:pPr>
            <w:r>
              <w:rPr>
                <w:rFonts w:hint="eastAsia" w:ascii="黑体" w:hAnsi="黑体" w:eastAsia="黑体"/>
                <w:b/>
                <w:bCs/>
                <w:kern w:val="0"/>
                <w:sz w:val="24"/>
              </w:rPr>
              <w:t>（四）与“大气污染防治法”符合性分析</w:t>
            </w:r>
          </w:p>
          <w:p>
            <w:pPr>
              <w:spacing w:line="360" w:lineRule="auto"/>
              <w:ind w:firstLine="480" w:firstLineChars="200"/>
              <w:rPr>
                <w:sz w:val="24"/>
              </w:rPr>
            </w:pPr>
            <w:r>
              <w:rPr>
                <w:rFonts w:hint="eastAsia"/>
                <w:sz w:val="24"/>
              </w:rPr>
              <w:t>经对照《中华人民共和国大气污染防治法》（2</w:t>
            </w:r>
            <w:r>
              <w:rPr>
                <w:sz w:val="24"/>
              </w:rPr>
              <w:t>018</w:t>
            </w:r>
            <w:r>
              <w:rPr>
                <w:rFonts w:hint="eastAsia"/>
                <w:sz w:val="24"/>
              </w:rPr>
              <w:t>年修正），本项目与其符合性分析如下：</w:t>
            </w:r>
          </w:p>
          <w:p>
            <w:pPr>
              <w:jc w:val="center"/>
              <w:rPr>
                <w:b/>
                <w:bCs/>
                <w:sz w:val="24"/>
              </w:rPr>
            </w:pPr>
            <w:r>
              <w:rPr>
                <w:rFonts w:hint="eastAsia"/>
                <w:b/>
                <w:bCs/>
                <w:sz w:val="24"/>
              </w:rPr>
              <w:t>表</w:t>
            </w:r>
            <w:r>
              <w:rPr>
                <w:b/>
                <w:bCs/>
                <w:sz w:val="24"/>
              </w:rPr>
              <w:t xml:space="preserve">1.4-1  </w:t>
            </w:r>
            <w:r>
              <w:rPr>
                <w:rFonts w:hint="eastAsia"/>
                <w:b/>
                <w:bCs/>
                <w:sz w:val="24"/>
              </w:rPr>
              <w:t>与大气污染防治法符合性分析一览表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7"/>
              <w:gridCol w:w="3100"/>
              <w:gridCol w:w="3384"/>
              <w:gridCol w:w="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85" w:type="pct"/>
                  <w:gridSpan w:val="2"/>
                  <w:vAlign w:val="center"/>
                </w:tcPr>
                <w:p>
                  <w:pPr>
                    <w:jc w:val="center"/>
                    <w:rPr>
                      <w:b/>
                      <w:bCs/>
                      <w:szCs w:val="21"/>
                    </w:rPr>
                  </w:pPr>
                  <w:r>
                    <w:rPr>
                      <w:rFonts w:hint="eastAsia"/>
                      <w:b/>
                      <w:bCs/>
                      <w:szCs w:val="21"/>
                    </w:rPr>
                    <w:t>大气污染物防治法要求</w:t>
                  </w:r>
                </w:p>
              </w:tc>
              <w:tc>
                <w:tcPr>
                  <w:tcW w:w="2120" w:type="pct"/>
                  <w:vAlign w:val="center"/>
                </w:tcPr>
                <w:p>
                  <w:pPr>
                    <w:jc w:val="center"/>
                    <w:rPr>
                      <w:b/>
                      <w:bCs/>
                      <w:szCs w:val="21"/>
                    </w:rPr>
                  </w:pPr>
                  <w:r>
                    <w:rPr>
                      <w:b/>
                      <w:bCs/>
                      <w:szCs w:val="21"/>
                    </w:rPr>
                    <w:t>项目情况</w:t>
                  </w:r>
                </w:p>
              </w:tc>
              <w:tc>
                <w:tcPr>
                  <w:tcW w:w="495" w:type="pct"/>
                  <w:vAlign w:val="center"/>
                </w:tcPr>
                <w:p>
                  <w:pPr>
                    <w:jc w:val="center"/>
                    <w:rPr>
                      <w:b/>
                      <w:bCs/>
                      <w:szCs w:val="21"/>
                    </w:rPr>
                  </w:pPr>
                  <w:r>
                    <w:rPr>
                      <w:b/>
                      <w:bCs/>
                      <w:szCs w:val="21"/>
                    </w:rPr>
                    <w:t>是否相符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3" w:type="pct"/>
                  <w:vAlign w:val="center"/>
                </w:tcPr>
                <w:p>
                  <w:pPr>
                    <w:jc w:val="center"/>
                    <w:rPr>
                      <w:szCs w:val="21"/>
                    </w:rPr>
                  </w:pPr>
                  <w:r>
                    <w:rPr>
                      <w:rFonts w:hint="eastAsia"/>
                      <w:szCs w:val="21"/>
                    </w:rPr>
                    <w:t>第十八条</w:t>
                  </w:r>
                </w:p>
              </w:tc>
              <w:tc>
                <w:tcPr>
                  <w:tcW w:w="1942" w:type="pct"/>
                  <w:vAlign w:val="center"/>
                </w:tcPr>
                <w:p>
                  <w:pPr>
                    <w:rPr>
                      <w:szCs w:val="21"/>
                    </w:rPr>
                  </w:pPr>
                  <w:r>
                    <w:rPr>
                      <w:rFonts w:hint="eastAsia"/>
                      <w:szCs w:val="21"/>
                    </w:rPr>
                    <w:t>企业事业单位和其他生产经营者建设对大气环境有影响的项目，应当依法进行环境影响评价、公开环境影响评价文件；向大气排放污染物的，应当符合大气污染物排放标准，遵守重点大气污染物排放总量控制要求。</w:t>
                  </w:r>
                </w:p>
              </w:tc>
              <w:tc>
                <w:tcPr>
                  <w:tcW w:w="2120" w:type="pct"/>
                  <w:vAlign w:val="center"/>
                </w:tcPr>
                <w:p>
                  <w:pPr>
                    <w:rPr>
                      <w:szCs w:val="21"/>
                    </w:rPr>
                  </w:pPr>
                  <w:r>
                    <w:rPr>
                      <w:rFonts w:hint="eastAsia"/>
                      <w:szCs w:val="21"/>
                    </w:rPr>
                    <w:t>项目施工及运营期排放主要大气污染物为TSP（颗粒物），目前正按照相关法律法规要求开展环境影响评价工作，环评要求项目运营期采取合理有效的粉尘控制措施后粉尘无组织排放达《大气污染物排放标准》（GB</w:t>
                  </w:r>
                  <w:r>
                    <w:rPr>
                      <w:szCs w:val="21"/>
                    </w:rPr>
                    <w:t xml:space="preserve"> 16297-1996</w:t>
                  </w:r>
                  <w:r>
                    <w:rPr>
                      <w:rFonts w:hint="eastAsia"/>
                      <w:szCs w:val="21"/>
                    </w:rPr>
                    <w:t>）相关标准要求。由于项目运营期不涉及NO</w:t>
                  </w:r>
                  <w:r>
                    <w:rPr>
                      <w:rFonts w:hint="eastAsia"/>
                      <w:szCs w:val="21"/>
                      <w:vertAlign w:val="subscript"/>
                    </w:rPr>
                    <w:t>X</w:t>
                  </w:r>
                  <w:r>
                    <w:rPr>
                      <w:rFonts w:hint="eastAsia"/>
                      <w:szCs w:val="21"/>
                    </w:rPr>
                    <w:t>、VOC等污染物排放，故项目不设置大气污染物总量控制指标。</w:t>
                  </w:r>
                </w:p>
              </w:tc>
              <w:tc>
                <w:tcPr>
                  <w:tcW w:w="495" w:type="pct"/>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3" w:type="pct"/>
                  <w:vAlign w:val="center"/>
                </w:tcPr>
                <w:p>
                  <w:pPr>
                    <w:jc w:val="center"/>
                    <w:rPr>
                      <w:szCs w:val="21"/>
                    </w:rPr>
                  </w:pPr>
                  <w:r>
                    <w:rPr>
                      <w:rFonts w:hint="eastAsia"/>
                      <w:szCs w:val="21"/>
                    </w:rPr>
                    <w:t>第十九条</w:t>
                  </w:r>
                </w:p>
              </w:tc>
              <w:tc>
                <w:tcPr>
                  <w:tcW w:w="1942" w:type="pct"/>
                  <w:vAlign w:val="center"/>
                </w:tcPr>
                <w:p>
                  <w:pPr>
                    <w:rPr>
                      <w:szCs w:val="21"/>
                    </w:rPr>
                  </w:pPr>
                  <w:r>
                    <w:rPr>
                      <w:rFonts w:hint="eastAsia"/>
                      <w:szCs w:val="21"/>
                    </w:rPr>
                    <w:t>排放工业废气或者本法第七十八条规定名录中所列有毒有害大气污染物的企业事业单位、集中供热设施的燃煤热源生产运营单位以及其他依法实行排污许可管理的单位，应当取得排污许可证。排污许可的具体办法和实施步骤由国务院规定。</w:t>
                  </w:r>
                </w:p>
              </w:tc>
              <w:tc>
                <w:tcPr>
                  <w:tcW w:w="2120" w:type="pct"/>
                  <w:vAlign w:val="center"/>
                </w:tcPr>
                <w:p>
                  <w:pPr>
                    <w:rPr>
                      <w:rFonts w:cs="宋体"/>
                      <w:szCs w:val="21"/>
                    </w:rPr>
                  </w:pPr>
                  <w:r>
                    <w:rPr>
                      <w:rFonts w:hint="eastAsia" w:cs="宋体"/>
                      <w:szCs w:val="21"/>
                    </w:rPr>
                    <w:t>根据《固定污染源排污许可分类管理名录（2</w:t>
                  </w:r>
                  <w:r>
                    <w:rPr>
                      <w:rFonts w:cs="宋体"/>
                      <w:szCs w:val="21"/>
                    </w:rPr>
                    <w:t>019</w:t>
                  </w:r>
                  <w:r>
                    <w:rPr>
                      <w:rFonts w:hint="eastAsia" w:cs="宋体"/>
                      <w:szCs w:val="21"/>
                    </w:rPr>
                    <w:t xml:space="preserve">年版）》，本项目属“其他建筑材料制造 </w:t>
                  </w:r>
                  <w:r>
                    <w:rPr>
                      <w:rFonts w:cs="宋体"/>
                      <w:szCs w:val="21"/>
                    </w:rPr>
                    <w:t>3039</w:t>
                  </w:r>
                  <w:r>
                    <w:rPr>
                      <w:rFonts w:hint="eastAsia" w:cs="宋体"/>
                      <w:szCs w:val="21"/>
                    </w:rPr>
                    <w:t>”，固定污染源排污许可类别为“简化管理”。本次要求项目在取得环评批复投入试运行前完成固定污染源排污许可“简化管理”申报工作，做到合法持证排污。</w:t>
                  </w:r>
                </w:p>
              </w:tc>
              <w:tc>
                <w:tcPr>
                  <w:tcW w:w="495" w:type="pct"/>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43" w:type="pct"/>
                  <w:vAlign w:val="center"/>
                </w:tcPr>
                <w:p>
                  <w:pPr>
                    <w:jc w:val="center"/>
                    <w:rPr>
                      <w:szCs w:val="21"/>
                    </w:rPr>
                  </w:pPr>
                  <w:r>
                    <w:rPr>
                      <w:rFonts w:hint="eastAsia"/>
                      <w:szCs w:val="21"/>
                    </w:rPr>
                    <w:t>第二十条</w:t>
                  </w:r>
                </w:p>
              </w:tc>
              <w:tc>
                <w:tcPr>
                  <w:tcW w:w="1942" w:type="pct"/>
                  <w:vAlign w:val="center"/>
                </w:tcPr>
                <w:p>
                  <w:pPr>
                    <w:rPr>
                      <w:b/>
                      <w:bCs/>
                      <w:szCs w:val="21"/>
                    </w:rPr>
                  </w:pPr>
                  <w:r>
                    <w:rPr>
                      <w:rFonts w:hint="eastAsia"/>
                      <w:szCs w:val="21"/>
                    </w:rPr>
                    <w:t>企业事业单位和其他生产经营者向大气排放污染物的，应当依照法律法规和国务院生态环境主管部门的规定设置大气污染物排放口。</w:t>
                  </w:r>
                </w:p>
              </w:tc>
              <w:tc>
                <w:tcPr>
                  <w:tcW w:w="2120" w:type="pct"/>
                  <w:vAlign w:val="center"/>
                </w:tcPr>
                <w:p>
                  <w:pPr>
                    <w:rPr>
                      <w:szCs w:val="21"/>
                    </w:rPr>
                  </w:pPr>
                  <w:r>
                    <w:rPr>
                      <w:rFonts w:hint="eastAsia"/>
                      <w:szCs w:val="21"/>
                    </w:rPr>
                    <w:t>项目运营期排放的主要大气污染物为TSP（颗粒物），排放形式为无组织排放，故本项目不设置大气污染物固定排放口。</w:t>
                  </w:r>
                </w:p>
              </w:tc>
              <w:tc>
                <w:tcPr>
                  <w:tcW w:w="495" w:type="pct"/>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3" w:type="pct"/>
                  <w:vAlign w:val="center"/>
                </w:tcPr>
                <w:p>
                  <w:pPr>
                    <w:jc w:val="center"/>
                    <w:rPr>
                      <w:szCs w:val="21"/>
                    </w:rPr>
                  </w:pPr>
                  <w:r>
                    <w:rPr>
                      <w:rFonts w:hint="eastAsia"/>
                      <w:szCs w:val="21"/>
                    </w:rPr>
                    <w:t>第二十四条</w:t>
                  </w:r>
                </w:p>
              </w:tc>
              <w:tc>
                <w:tcPr>
                  <w:tcW w:w="1942" w:type="pct"/>
                  <w:vAlign w:val="center"/>
                </w:tcPr>
                <w:p>
                  <w:pPr>
                    <w:rPr>
                      <w:szCs w:val="21"/>
                    </w:rPr>
                  </w:pPr>
                  <w:r>
                    <w:rPr>
                      <w:rFonts w:hint="eastAsia"/>
                      <w:szCs w:val="21"/>
                    </w:rPr>
                    <w:t>企业事业单位和其他生产经营者应当按照国家有关规定和监测规范，对其排放的工业废气和本法第七十八条规定名录中所列有毒有害大气污染物进行监测，并保存原始监测记录。</w:t>
                  </w:r>
                </w:p>
              </w:tc>
              <w:tc>
                <w:tcPr>
                  <w:tcW w:w="2120" w:type="pct"/>
                  <w:vAlign w:val="center"/>
                </w:tcPr>
                <w:p>
                  <w:pPr>
                    <w:rPr>
                      <w:szCs w:val="21"/>
                    </w:rPr>
                  </w:pPr>
                  <w:r>
                    <w:rPr>
                      <w:rFonts w:hint="eastAsia"/>
                      <w:szCs w:val="21"/>
                    </w:rPr>
                    <w:t>项目运营期排放主要大气污染物无TSP（颗粒物），环评要求项目建设完成投入运行后按照《排污单位自行监测技术指南 总则》（HJ</w:t>
                  </w:r>
                  <w:r>
                    <w:rPr>
                      <w:szCs w:val="21"/>
                    </w:rPr>
                    <w:t xml:space="preserve"> 819-2017</w:t>
                  </w:r>
                  <w:r>
                    <w:rPr>
                      <w:rFonts w:hint="eastAsia"/>
                      <w:szCs w:val="21"/>
                    </w:rPr>
                    <w:t>）、《排污单位自行监测技术指南 砖瓦工业》（HJ</w:t>
                  </w:r>
                  <w:r>
                    <w:rPr>
                      <w:szCs w:val="21"/>
                    </w:rPr>
                    <w:t xml:space="preserve"> 1254-2022</w:t>
                  </w:r>
                  <w:r>
                    <w:rPr>
                      <w:rFonts w:hint="eastAsia"/>
                      <w:szCs w:val="21"/>
                    </w:rPr>
                    <w:t>）相关要求对运行期排放大气污染物开展达标性监测工作。</w:t>
                  </w:r>
                </w:p>
              </w:tc>
              <w:tc>
                <w:tcPr>
                  <w:tcW w:w="495" w:type="pct"/>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3" w:type="pct"/>
                  <w:vAlign w:val="center"/>
                </w:tcPr>
                <w:p>
                  <w:pPr>
                    <w:jc w:val="center"/>
                    <w:rPr>
                      <w:szCs w:val="21"/>
                    </w:rPr>
                  </w:pPr>
                  <w:r>
                    <w:rPr>
                      <w:rFonts w:hint="eastAsia"/>
                      <w:szCs w:val="21"/>
                    </w:rPr>
                    <w:t>第四十三条</w:t>
                  </w:r>
                </w:p>
              </w:tc>
              <w:tc>
                <w:tcPr>
                  <w:tcW w:w="1942" w:type="pct"/>
                  <w:vAlign w:val="center"/>
                </w:tcPr>
                <w:p>
                  <w:pPr>
                    <w:rPr>
                      <w:szCs w:val="21"/>
                    </w:rPr>
                  </w:pPr>
                  <w:r>
                    <w:rPr>
                      <w:rFonts w:hint="eastAsia"/>
                      <w:szCs w:val="21"/>
                    </w:rPr>
                    <w:t>钢铁、建材、有色金属、石油、化工等企业生产过程中排放粉尘、硫化物和氮氧化物的，应当采用清洁生产工艺，配套建设除尘、脱硫、脱硝等装置，或者采取技术改造等其他控制大气污染物排放的措施。</w:t>
                  </w:r>
                </w:p>
              </w:tc>
              <w:tc>
                <w:tcPr>
                  <w:tcW w:w="2120" w:type="pct"/>
                  <w:vMerge w:val="restart"/>
                  <w:vAlign w:val="center"/>
                </w:tcPr>
                <w:p>
                  <w:pPr>
                    <w:rPr>
                      <w:color w:val="0000FF"/>
                      <w:szCs w:val="21"/>
                    </w:rPr>
                  </w:pPr>
                  <w:bookmarkStart w:id="14" w:name="_Hlk145925930"/>
                  <w:r>
                    <w:rPr>
                      <w:rFonts w:hint="eastAsia"/>
                      <w:color w:val="0000FF"/>
                      <w:szCs w:val="21"/>
                    </w:rPr>
                    <w:t>项目运营期排放大气污染物主要为TSP（颗粒物），环评要求对皮带输送机进行密闭处理；原料及成品砂石料需设置三面围挡加盖、一面敞口堆料棚进行堆存，堆料棚顶部配置雾化喷淋系统对堆料粉尘进行控制；破破碎站上料口设置为三面围挡加盖、一面敞口结构，顶部设置雾化喷淋系统对上料扬尘进行控制；破碎站、振动筛进行密闭处理，厂区配置1台布袋除尘器对各破碎、筛分环节扬尘进行收集后通过1</w:t>
                  </w:r>
                  <w:r>
                    <w:rPr>
                      <w:color w:val="0000FF"/>
                      <w:szCs w:val="21"/>
                    </w:rPr>
                    <w:t>5</w:t>
                  </w:r>
                  <w:r>
                    <w:rPr>
                      <w:rFonts w:hint="eastAsia"/>
                      <w:color w:val="0000FF"/>
                      <w:szCs w:val="21"/>
                    </w:rPr>
                    <w:t>m高排气筒（DA</w:t>
                  </w:r>
                  <w:r>
                    <w:rPr>
                      <w:color w:val="0000FF"/>
                      <w:szCs w:val="21"/>
                    </w:rPr>
                    <w:t>001</w:t>
                  </w:r>
                  <w:r>
                    <w:rPr>
                      <w:rFonts w:hint="eastAsia"/>
                      <w:color w:val="0000FF"/>
                      <w:szCs w:val="21"/>
                    </w:rPr>
                    <w:t>）进行有组织排放。</w:t>
                  </w:r>
                  <w:bookmarkEnd w:id="14"/>
                </w:p>
              </w:tc>
              <w:tc>
                <w:tcPr>
                  <w:tcW w:w="495" w:type="pct"/>
                  <w:vAlign w:val="center"/>
                </w:tcPr>
                <w:p>
                  <w:pPr>
                    <w:jc w:val="center"/>
                    <w:rPr>
                      <w:szCs w:val="21"/>
                    </w:rPr>
                  </w:pPr>
                  <w:r>
                    <w:rPr>
                      <w:rFonts w:hint="eastAsia"/>
                      <w:color w:val="0000FF"/>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3" w:type="pct"/>
                  <w:vAlign w:val="center"/>
                </w:tcPr>
                <w:p>
                  <w:pPr>
                    <w:jc w:val="center"/>
                    <w:rPr>
                      <w:szCs w:val="21"/>
                    </w:rPr>
                  </w:pPr>
                  <w:r>
                    <w:rPr>
                      <w:rFonts w:hint="eastAsia"/>
                      <w:szCs w:val="21"/>
                    </w:rPr>
                    <w:t>第四十八条</w:t>
                  </w:r>
                </w:p>
              </w:tc>
              <w:tc>
                <w:tcPr>
                  <w:tcW w:w="1942" w:type="pct"/>
                  <w:vAlign w:val="center"/>
                </w:tcPr>
                <w:p>
                  <w:pPr>
                    <w:rPr>
                      <w:szCs w:val="21"/>
                    </w:rPr>
                  </w:pPr>
                  <w:r>
                    <w:rPr>
                      <w:rFonts w:hint="eastAsia"/>
                      <w:szCs w:val="21"/>
                    </w:rPr>
                    <w:t>钢铁、建材、有色金属、石油、化工、制药、矿产开采等企业，应当加强精细化管理，采取集中收集处理等措施，严格控制粉尘和气态污染物的排放。工业生产企业应当采取密闭、围挡、遮盖、清扫、洒水等措施，减少内部物料的堆存、传输、装卸等环节产生的粉尘和气态污染物的排放。</w:t>
                  </w:r>
                </w:p>
              </w:tc>
              <w:tc>
                <w:tcPr>
                  <w:tcW w:w="2120" w:type="pct"/>
                  <w:vMerge w:val="continue"/>
                  <w:vAlign w:val="center"/>
                </w:tcPr>
                <w:p>
                  <w:pPr>
                    <w:rPr>
                      <w:szCs w:val="21"/>
                    </w:rPr>
                  </w:pPr>
                </w:p>
              </w:tc>
              <w:tc>
                <w:tcPr>
                  <w:tcW w:w="495" w:type="pct"/>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43" w:type="pct"/>
                  <w:vAlign w:val="center"/>
                </w:tcPr>
                <w:p>
                  <w:pPr>
                    <w:jc w:val="center"/>
                    <w:rPr>
                      <w:szCs w:val="21"/>
                    </w:rPr>
                  </w:pPr>
                  <w:r>
                    <w:rPr>
                      <w:rFonts w:hint="eastAsia"/>
                      <w:szCs w:val="21"/>
                    </w:rPr>
                    <w:t>第七十条</w:t>
                  </w:r>
                </w:p>
              </w:tc>
              <w:tc>
                <w:tcPr>
                  <w:tcW w:w="1942" w:type="pct"/>
                  <w:vAlign w:val="center"/>
                </w:tcPr>
                <w:p>
                  <w:pPr>
                    <w:rPr>
                      <w:szCs w:val="21"/>
                    </w:rPr>
                  </w:pPr>
                  <w:r>
                    <w:rPr>
                      <w:rFonts w:hint="eastAsia"/>
                      <w:szCs w:val="21"/>
                    </w:rPr>
                    <w:t>运输煤炭、垃圾、渣土、砂石、土方、灰浆等散装、流体物料的车辆应当采取密闭或者其他措施防止物料遗撒造成扬尘污染，并按照规定路线行驶。装卸物料应当采取密闭或者喷淋等方式防治扬尘污染。</w:t>
                  </w:r>
                </w:p>
              </w:tc>
              <w:tc>
                <w:tcPr>
                  <w:tcW w:w="2120" w:type="pct"/>
                  <w:vAlign w:val="center"/>
                </w:tcPr>
                <w:p>
                  <w:pPr>
                    <w:rPr>
                      <w:szCs w:val="21"/>
                    </w:rPr>
                  </w:pPr>
                  <w:r>
                    <w:rPr>
                      <w:rFonts w:hint="eastAsia"/>
                      <w:szCs w:val="21"/>
                    </w:rPr>
                    <w:t>环评要求建设单位设置固定的原辅材料及产品运输路线，运输车辆需按照规定路线行驶；物料运输过程中要求采用防尘网进行遮盖，卸料工作需在三面围挡加盖、一面敞口堆料棚进行堆存，堆料棚顶部配置雾化喷淋系统对堆料粉尘进行控制。</w:t>
                  </w:r>
                </w:p>
              </w:tc>
              <w:tc>
                <w:tcPr>
                  <w:tcW w:w="495" w:type="pct"/>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3" w:type="pct"/>
                  <w:vAlign w:val="center"/>
                </w:tcPr>
                <w:p>
                  <w:pPr>
                    <w:jc w:val="center"/>
                    <w:rPr>
                      <w:szCs w:val="21"/>
                    </w:rPr>
                  </w:pPr>
                  <w:r>
                    <w:rPr>
                      <w:rFonts w:hint="eastAsia"/>
                      <w:szCs w:val="21"/>
                    </w:rPr>
                    <w:t>第七十二条</w:t>
                  </w:r>
                </w:p>
              </w:tc>
              <w:tc>
                <w:tcPr>
                  <w:tcW w:w="1942" w:type="pct"/>
                  <w:vAlign w:val="center"/>
                </w:tcPr>
                <w:p>
                  <w:pPr>
                    <w:rPr>
                      <w:szCs w:val="21"/>
                    </w:rPr>
                  </w:pPr>
                  <w:r>
                    <w:rPr>
                      <w:rFonts w:hint="eastAsia"/>
                      <w:szCs w:val="21"/>
                    </w:rPr>
                    <w:t>贮存煤炭、煤矸石、煤渣、煤灰、水泥、石灰、石膏、砂土等易产生扬尘的物料应当密闭；不能密闭的，应当设置不低于堆放物高度的严密围挡，并采取有效覆盖措施防治扬尘污染。码头、矿山、填埋场和消纳场应当实施分区作业，并采取有效措施防治扬尘污染。</w:t>
                  </w:r>
                </w:p>
              </w:tc>
              <w:tc>
                <w:tcPr>
                  <w:tcW w:w="2120" w:type="pct"/>
                  <w:vAlign w:val="center"/>
                </w:tcPr>
                <w:p>
                  <w:pPr>
                    <w:rPr>
                      <w:szCs w:val="21"/>
                    </w:rPr>
                  </w:pPr>
                  <w:r>
                    <w:rPr>
                      <w:rFonts w:hint="eastAsia"/>
                      <w:szCs w:val="21"/>
                    </w:rPr>
                    <w:t>项目运营期要求原料及成品砂石料堆存于三面围挡加盖、一面敞口堆料棚内存，堆料棚顶部配置雾化喷淋系统对堆料粉尘进行控制。</w:t>
                  </w:r>
                </w:p>
              </w:tc>
              <w:tc>
                <w:tcPr>
                  <w:tcW w:w="495" w:type="pct"/>
                  <w:vAlign w:val="center"/>
                </w:tcPr>
                <w:p>
                  <w:pPr>
                    <w:jc w:val="center"/>
                    <w:rPr>
                      <w:szCs w:val="21"/>
                    </w:rPr>
                  </w:pPr>
                  <w:r>
                    <w:rPr>
                      <w:rFonts w:hint="eastAsia"/>
                      <w:szCs w:val="21"/>
                    </w:rPr>
                    <w:t>符合</w:t>
                  </w:r>
                </w:p>
              </w:tc>
            </w:tr>
          </w:tbl>
          <w:p>
            <w:pPr>
              <w:spacing w:line="360" w:lineRule="auto"/>
              <w:rPr>
                <w:rFonts w:ascii="黑体" w:hAnsi="黑体" w:eastAsia="黑体"/>
                <w:b/>
                <w:bCs/>
                <w:kern w:val="0"/>
                <w:sz w:val="24"/>
              </w:rPr>
            </w:pPr>
            <w:r>
              <w:rPr>
                <w:rFonts w:ascii="黑体" w:hAnsi="黑体" w:eastAsia="黑体"/>
                <w:b/>
                <w:bCs/>
                <w:kern w:val="0"/>
                <w:sz w:val="24"/>
              </w:rPr>
              <w:t>（</w:t>
            </w:r>
            <w:r>
              <w:rPr>
                <w:rFonts w:hint="eastAsia" w:ascii="黑体" w:hAnsi="黑体" w:eastAsia="黑体"/>
                <w:b/>
                <w:bCs/>
                <w:kern w:val="0"/>
                <w:sz w:val="24"/>
              </w:rPr>
              <w:t>五</w:t>
            </w:r>
            <w:r>
              <w:rPr>
                <w:rFonts w:ascii="黑体" w:hAnsi="黑体" w:eastAsia="黑体"/>
                <w:b/>
                <w:bCs/>
                <w:kern w:val="0"/>
                <w:sz w:val="24"/>
              </w:rPr>
              <w:t>）与“</w:t>
            </w:r>
            <w:r>
              <w:rPr>
                <w:rFonts w:hint="eastAsia" w:ascii="黑体" w:hAnsi="黑体" w:eastAsia="黑体"/>
                <w:b/>
                <w:bCs/>
                <w:kern w:val="0"/>
                <w:sz w:val="24"/>
              </w:rPr>
              <w:t>水污染防治法</w:t>
            </w:r>
            <w:r>
              <w:rPr>
                <w:rFonts w:ascii="黑体" w:hAnsi="黑体" w:eastAsia="黑体"/>
                <w:b/>
                <w:bCs/>
                <w:kern w:val="0"/>
                <w:sz w:val="24"/>
              </w:rPr>
              <w:t>”符合性分析</w:t>
            </w:r>
          </w:p>
          <w:p>
            <w:pPr>
              <w:spacing w:line="360" w:lineRule="auto"/>
              <w:ind w:firstLine="480" w:firstLineChars="200"/>
              <w:rPr>
                <w:sz w:val="24"/>
              </w:rPr>
            </w:pPr>
            <w:r>
              <w:rPr>
                <w:rFonts w:hint="eastAsia"/>
                <w:sz w:val="24"/>
              </w:rPr>
              <w:t>经对照《中华人民共和国水污染防治法》（2</w:t>
            </w:r>
            <w:r>
              <w:rPr>
                <w:sz w:val="24"/>
              </w:rPr>
              <w:t>017</w:t>
            </w:r>
            <w:r>
              <w:rPr>
                <w:rFonts w:hint="eastAsia"/>
                <w:sz w:val="24"/>
              </w:rPr>
              <w:t>年修正），本项目与其符合性分析如下：</w:t>
            </w:r>
          </w:p>
          <w:p>
            <w:pPr>
              <w:jc w:val="center"/>
              <w:rPr>
                <w:b/>
                <w:bCs/>
                <w:sz w:val="24"/>
              </w:rPr>
            </w:pPr>
            <w:r>
              <w:rPr>
                <w:rFonts w:hint="eastAsia"/>
                <w:b/>
                <w:bCs/>
                <w:sz w:val="24"/>
              </w:rPr>
              <w:t>表</w:t>
            </w:r>
            <w:r>
              <w:rPr>
                <w:b/>
                <w:bCs/>
                <w:sz w:val="24"/>
              </w:rPr>
              <w:t xml:space="preserve">1.5-1  </w:t>
            </w:r>
            <w:r>
              <w:rPr>
                <w:rFonts w:hint="eastAsia"/>
                <w:b/>
                <w:bCs/>
                <w:sz w:val="24"/>
              </w:rPr>
              <w:t>与水污染防治法符合性分析</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7"/>
              <w:gridCol w:w="3100"/>
              <w:gridCol w:w="3384"/>
              <w:gridCol w:w="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85" w:type="pct"/>
                  <w:gridSpan w:val="2"/>
                  <w:vAlign w:val="center"/>
                </w:tcPr>
                <w:p>
                  <w:pPr>
                    <w:jc w:val="center"/>
                    <w:rPr>
                      <w:b/>
                      <w:bCs/>
                      <w:szCs w:val="21"/>
                    </w:rPr>
                  </w:pPr>
                  <w:r>
                    <w:rPr>
                      <w:rFonts w:hint="eastAsia"/>
                      <w:b/>
                      <w:bCs/>
                      <w:szCs w:val="21"/>
                    </w:rPr>
                    <w:t>大气污染物防治法要求</w:t>
                  </w:r>
                </w:p>
              </w:tc>
              <w:tc>
                <w:tcPr>
                  <w:tcW w:w="2120" w:type="pct"/>
                  <w:vAlign w:val="center"/>
                </w:tcPr>
                <w:p>
                  <w:pPr>
                    <w:jc w:val="center"/>
                    <w:rPr>
                      <w:b/>
                      <w:bCs/>
                      <w:szCs w:val="21"/>
                    </w:rPr>
                  </w:pPr>
                  <w:r>
                    <w:rPr>
                      <w:b/>
                      <w:bCs/>
                      <w:szCs w:val="21"/>
                    </w:rPr>
                    <w:t>项目情况</w:t>
                  </w:r>
                </w:p>
              </w:tc>
              <w:tc>
                <w:tcPr>
                  <w:tcW w:w="495" w:type="pct"/>
                  <w:vAlign w:val="center"/>
                </w:tcPr>
                <w:p>
                  <w:pPr>
                    <w:jc w:val="center"/>
                    <w:rPr>
                      <w:b/>
                      <w:bCs/>
                      <w:szCs w:val="21"/>
                    </w:rPr>
                  </w:pPr>
                  <w:r>
                    <w:rPr>
                      <w:b/>
                      <w:bCs/>
                      <w:szCs w:val="21"/>
                    </w:rPr>
                    <w:t>是否相符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3" w:type="pct"/>
                  <w:vAlign w:val="center"/>
                </w:tcPr>
                <w:p>
                  <w:pPr>
                    <w:jc w:val="center"/>
                    <w:rPr>
                      <w:szCs w:val="21"/>
                    </w:rPr>
                  </w:pPr>
                  <w:r>
                    <w:rPr>
                      <w:rFonts w:hint="eastAsia"/>
                      <w:szCs w:val="21"/>
                    </w:rPr>
                    <w:t>第十九条</w:t>
                  </w:r>
                </w:p>
              </w:tc>
              <w:tc>
                <w:tcPr>
                  <w:tcW w:w="1942" w:type="pct"/>
                  <w:vAlign w:val="center"/>
                </w:tcPr>
                <w:p>
                  <w:pPr>
                    <w:rPr>
                      <w:szCs w:val="21"/>
                    </w:rPr>
                  </w:pPr>
                  <w:r>
                    <w:rPr>
                      <w:rFonts w:hint="eastAsia"/>
                      <w:szCs w:val="21"/>
                    </w:rPr>
                    <w:t>新建、改建、扩建直接或者间接向水体排放污染物的建设项目和其他水上设施，应当依法进行环境影响评价。建设项目的水污染防治设施，应当与主体工程同时设计、同时施工、同时投入使用。水污染防治设施应当符合经批准或者备案的环境影响评价文件的要求。</w:t>
                  </w:r>
                </w:p>
              </w:tc>
              <w:tc>
                <w:tcPr>
                  <w:tcW w:w="2120" w:type="pct"/>
                  <w:vAlign w:val="center"/>
                </w:tcPr>
                <w:p>
                  <w:pPr>
                    <w:rPr>
                      <w:szCs w:val="21"/>
                    </w:rPr>
                  </w:pPr>
                  <w:bookmarkStart w:id="15" w:name="_Hlk145926137"/>
                  <w:r>
                    <w:rPr>
                      <w:rFonts w:hint="eastAsia"/>
                      <w:color w:val="0000FF"/>
                      <w:szCs w:val="21"/>
                    </w:rPr>
                    <w:t>项目运营期要求严格落实环评提出的水污染防治措施，具体为设置沉淀池对洗砂废水进行收集沉淀处理后回用于洗砂生产线；要求设置化粪池对生活污水进行收集沉淀处理，化粪池下游配套建设4m³清水池1座对化粪池上清液进行收集后回用于洗砂生产线，不外排；要求设置初期雨水收集池对厂区初期雨水进行收集后回用于洗砂工段和洒水降尘，初期雨水不外排。</w:t>
                  </w:r>
                  <w:bookmarkEnd w:id="15"/>
                  <w:r>
                    <w:rPr>
                      <w:rFonts w:hint="eastAsia"/>
                      <w:color w:val="0000FF"/>
                      <w:szCs w:val="21"/>
                    </w:rPr>
                    <w:t>环评要求建设单位严格落实“三同时”制度，建设项目的水污染防治设施与主体工程同时设计、同时施工、同时投入使用。</w:t>
                  </w:r>
                </w:p>
              </w:tc>
              <w:tc>
                <w:tcPr>
                  <w:tcW w:w="495" w:type="pct"/>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3" w:type="pct"/>
                  <w:vAlign w:val="center"/>
                </w:tcPr>
                <w:p>
                  <w:pPr>
                    <w:jc w:val="center"/>
                    <w:rPr>
                      <w:szCs w:val="21"/>
                    </w:rPr>
                  </w:pPr>
                  <w:r>
                    <w:rPr>
                      <w:rFonts w:hint="eastAsia"/>
                      <w:szCs w:val="21"/>
                    </w:rPr>
                    <w:t>第二十条</w:t>
                  </w:r>
                </w:p>
              </w:tc>
              <w:tc>
                <w:tcPr>
                  <w:tcW w:w="1942" w:type="pct"/>
                  <w:vAlign w:val="center"/>
                </w:tcPr>
                <w:p>
                  <w:pPr>
                    <w:rPr>
                      <w:szCs w:val="21"/>
                    </w:rPr>
                  </w:pPr>
                  <w:r>
                    <w:rPr>
                      <w:rFonts w:hint="eastAsia"/>
                      <w:szCs w:val="21"/>
                    </w:rPr>
                    <w:t>国家对重点水污染物排放实施总量控制制度。重点水污染物排放总量控制指标，由国务院环境保护主管部门在征求国务院有关部门和各省、自治区、直辖市人民政府意见后，会同国务院经济综合宏观调控部门报国务院批准并下达实施。</w:t>
                  </w:r>
                </w:p>
              </w:tc>
              <w:tc>
                <w:tcPr>
                  <w:tcW w:w="2120" w:type="pct"/>
                  <w:vAlign w:val="center"/>
                </w:tcPr>
                <w:p>
                  <w:pPr>
                    <w:rPr>
                      <w:rFonts w:cs="宋体"/>
                      <w:szCs w:val="21"/>
                    </w:rPr>
                  </w:pPr>
                  <w:r>
                    <w:rPr>
                      <w:rFonts w:hint="eastAsia"/>
                      <w:color w:val="0000FF"/>
                      <w:szCs w:val="21"/>
                    </w:rPr>
                    <w:t>项目运营期要求严格落实环评提出的水污染防治措施，具体为设置沉淀池对洗砂废水进行收集沉淀处理后回用于洗砂生产线；要求设置化粪池对生活污水进行收集沉淀处理，化粪池下游配套建设4m³清水池1座对化粪池上清液进行收集后回用于洗砂生产线，不外排；要求设置初期雨水收集池对厂区初期雨水进行收集后回用于洗砂工段和洒水降尘，初期雨水不外排。</w:t>
                  </w:r>
                  <w:r>
                    <w:rPr>
                      <w:rFonts w:hint="eastAsia" w:cs="宋体"/>
                      <w:szCs w:val="21"/>
                    </w:rPr>
                    <w:t>综上，项目运营期生产生活废水经合理收集后回用，不向外环境排放，故本项目运营期不设置水污染物（COD、NH</w:t>
                  </w:r>
                  <w:r>
                    <w:rPr>
                      <w:rFonts w:cs="宋体"/>
                      <w:szCs w:val="21"/>
                      <w:vertAlign w:val="subscript"/>
                    </w:rPr>
                    <w:t>3</w:t>
                  </w:r>
                  <w:r>
                    <w:rPr>
                      <w:rFonts w:cs="宋体"/>
                      <w:szCs w:val="21"/>
                    </w:rPr>
                    <w:t>-</w:t>
                  </w:r>
                  <w:r>
                    <w:rPr>
                      <w:rFonts w:hint="eastAsia" w:cs="宋体"/>
                      <w:szCs w:val="21"/>
                    </w:rPr>
                    <w:t>N）排放总量控制指标。</w:t>
                  </w:r>
                </w:p>
              </w:tc>
              <w:tc>
                <w:tcPr>
                  <w:tcW w:w="495" w:type="pct"/>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43" w:type="pct"/>
                  <w:vAlign w:val="center"/>
                </w:tcPr>
                <w:p>
                  <w:pPr>
                    <w:jc w:val="center"/>
                    <w:rPr>
                      <w:szCs w:val="21"/>
                    </w:rPr>
                  </w:pPr>
                  <w:r>
                    <w:rPr>
                      <w:rFonts w:hint="eastAsia"/>
                      <w:szCs w:val="21"/>
                    </w:rPr>
                    <w:t>第三十三条</w:t>
                  </w:r>
                </w:p>
              </w:tc>
              <w:tc>
                <w:tcPr>
                  <w:tcW w:w="1942" w:type="pct"/>
                  <w:vAlign w:val="center"/>
                </w:tcPr>
                <w:p>
                  <w:pPr>
                    <w:rPr>
                      <w:b/>
                      <w:bCs/>
                      <w:szCs w:val="21"/>
                    </w:rPr>
                  </w:pPr>
                  <w:r>
                    <w:rPr>
                      <w:rFonts w:hint="eastAsia"/>
                      <w:szCs w:val="21"/>
                    </w:rPr>
                    <w:t>禁止向水体排放油类、酸液、碱液或者剧毒废液。禁止在水体清洗装贮过油类或者有毒污染物的车辆和容器。</w:t>
                  </w:r>
                </w:p>
              </w:tc>
              <w:tc>
                <w:tcPr>
                  <w:tcW w:w="2120" w:type="pct"/>
                  <w:vAlign w:val="center"/>
                </w:tcPr>
                <w:p>
                  <w:pPr>
                    <w:rPr>
                      <w:szCs w:val="21"/>
                    </w:rPr>
                  </w:pPr>
                  <w:r>
                    <w:rPr>
                      <w:rFonts w:hint="eastAsia"/>
                      <w:color w:val="0000FF"/>
                      <w:szCs w:val="21"/>
                    </w:rPr>
                    <w:t>项目运营期要求严格落实环评提出的水污染防治措施，具体为设置沉淀池对洗砂废水进行收集沉淀处理后回用于洗砂生产线；要求设置化粪池对生活污水进行收集沉淀处理，化粪池下游配套建设4m³清水池1座对化粪池上清液进行收集后回用于洗砂生产线，不外排；要求设置初期雨水收集池对厂区初期雨水进行收集后回用于洗砂工段和洒水降尘，初期雨水不外排。</w:t>
                  </w:r>
                  <w:r>
                    <w:rPr>
                      <w:rFonts w:hint="eastAsia" w:cs="宋体"/>
                      <w:szCs w:val="21"/>
                    </w:rPr>
                    <w:t>综上，项目运营期生产生活废水经合理收集后回用，不向外环境排放。项目建设运营期对东侧澜沧江干流基本无影响。</w:t>
                  </w:r>
                </w:p>
              </w:tc>
              <w:tc>
                <w:tcPr>
                  <w:tcW w:w="495" w:type="pct"/>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3" w:type="pct"/>
                  <w:vAlign w:val="center"/>
                </w:tcPr>
                <w:p>
                  <w:pPr>
                    <w:jc w:val="center"/>
                    <w:rPr>
                      <w:szCs w:val="21"/>
                    </w:rPr>
                  </w:pPr>
                  <w:r>
                    <w:rPr>
                      <w:rFonts w:hint="eastAsia"/>
                      <w:szCs w:val="21"/>
                    </w:rPr>
                    <w:t>第三十七条</w:t>
                  </w:r>
                </w:p>
              </w:tc>
              <w:tc>
                <w:tcPr>
                  <w:tcW w:w="1942" w:type="pct"/>
                  <w:vAlign w:val="center"/>
                </w:tcPr>
                <w:p>
                  <w:pPr>
                    <w:rPr>
                      <w:szCs w:val="21"/>
                    </w:rPr>
                  </w:pPr>
                  <w:r>
                    <w:rPr>
                      <w:rFonts w:hint="eastAsia"/>
                      <w:szCs w:val="21"/>
                    </w:rPr>
                    <w:t>禁止向水体排放、倾倒工业废渣、城镇垃圾和其他废弃物。</w:t>
                  </w:r>
                </w:p>
              </w:tc>
              <w:tc>
                <w:tcPr>
                  <w:tcW w:w="2120" w:type="pct"/>
                  <w:vAlign w:val="center"/>
                </w:tcPr>
                <w:p>
                  <w:pPr>
                    <w:rPr>
                      <w:szCs w:val="21"/>
                    </w:rPr>
                  </w:pPr>
                  <w:r>
                    <w:rPr>
                      <w:rFonts w:hint="eastAsia"/>
                      <w:szCs w:val="21"/>
                    </w:rPr>
                    <w:t>项目运营期沉淀池污泥要求定期清理后清运至砖瓦等建筑企业，委托其处置利用；生活垃圾经收集后清运至当地指定生活垃圾收集处置点合理处置；危险废物经收集后于危废暂存间内暂存，委托相关资质单位定期清运处置。综上项目运营期固体废物收集处置率可达1</w:t>
                  </w:r>
                  <w:r>
                    <w:rPr>
                      <w:szCs w:val="21"/>
                    </w:rPr>
                    <w:t>00%</w:t>
                  </w:r>
                  <w:r>
                    <w:rPr>
                      <w:rFonts w:hint="eastAsia"/>
                      <w:szCs w:val="21"/>
                    </w:rPr>
                    <w:t>，严格落实环评提出的固体废物污染防治措施后，运营期可杜绝向水体排放、倾倒固体废物的行为。</w:t>
                  </w:r>
                </w:p>
              </w:tc>
              <w:tc>
                <w:tcPr>
                  <w:tcW w:w="495" w:type="pct"/>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3" w:type="pct"/>
                  <w:vAlign w:val="center"/>
                </w:tcPr>
                <w:p>
                  <w:pPr>
                    <w:jc w:val="center"/>
                    <w:rPr>
                      <w:szCs w:val="21"/>
                    </w:rPr>
                  </w:pPr>
                  <w:r>
                    <w:rPr>
                      <w:rFonts w:hint="eastAsia"/>
                      <w:szCs w:val="21"/>
                    </w:rPr>
                    <w:t>第三十八</w:t>
                  </w:r>
                </w:p>
              </w:tc>
              <w:tc>
                <w:tcPr>
                  <w:tcW w:w="1942" w:type="pct"/>
                  <w:vAlign w:val="center"/>
                </w:tcPr>
                <w:p>
                  <w:pPr>
                    <w:rPr>
                      <w:szCs w:val="21"/>
                    </w:rPr>
                  </w:pPr>
                  <w:r>
                    <w:rPr>
                      <w:rFonts w:hint="eastAsia"/>
                      <w:szCs w:val="21"/>
                    </w:rPr>
                    <w:t>禁止在江河、湖泊、运河、渠道、水库最高水位线以下的滩地和岸坡堆放、存贮固体废弃物和其他污染物。</w:t>
                  </w:r>
                </w:p>
              </w:tc>
              <w:tc>
                <w:tcPr>
                  <w:tcW w:w="2120" w:type="pct"/>
                  <w:vAlign w:val="center"/>
                </w:tcPr>
                <w:p>
                  <w:pPr>
                    <w:rPr>
                      <w:szCs w:val="21"/>
                    </w:rPr>
                  </w:pPr>
                  <w:r>
                    <w:rPr>
                      <w:rFonts w:hint="eastAsia"/>
                      <w:szCs w:val="21"/>
                    </w:rPr>
                    <w:t>项目选址距东侧澜沧江约1</w:t>
                  </w:r>
                  <w:r>
                    <w:rPr>
                      <w:szCs w:val="21"/>
                    </w:rPr>
                    <w:t>80</w:t>
                  </w:r>
                  <w:r>
                    <w:rPr>
                      <w:rFonts w:hint="eastAsia"/>
                      <w:szCs w:val="21"/>
                    </w:rPr>
                    <w:t>m，，选址远高于澜沧江最高水位线，沉淀池污泥堆存区、危废暂存间均不设置于最高水位线以下的滩地和岸坡地带。</w:t>
                  </w:r>
                </w:p>
              </w:tc>
              <w:tc>
                <w:tcPr>
                  <w:tcW w:w="495" w:type="pct"/>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3" w:type="pct"/>
                  <w:vAlign w:val="center"/>
                </w:tcPr>
                <w:p>
                  <w:pPr>
                    <w:jc w:val="center"/>
                    <w:rPr>
                      <w:szCs w:val="21"/>
                    </w:rPr>
                  </w:pPr>
                  <w:r>
                    <w:rPr>
                      <w:rFonts w:hint="eastAsia"/>
                      <w:szCs w:val="21"/>
                    </w:rPr>
                    <w:t>第四十五条</w:t>
                  </w:r>
                </w:p>
              </w:tc>
              <w:tc>
                <w:tcPr>
                  <w:tcW w:w="1942" w:type="pct"/>
                  <w:vAlign w:val="center"/>
                </w:tcPr>
                <w:p>
                  <w:pPr>
                    <w:rPr>
                      <w:szCs w:val="21"/>
                    </w:rPr>
                  </w:pPr>
                  <w:r>
                    <w:rPr>
                      <w:rFonts w:hint="eastAsia"/>
                      <w:szCs w:val="21"/>
                    </w:rPr>
                    <w:t>排放工业废水的企业应当采取有效措施，收集和处理产生的全部废水，防止污染环境。含有毒有害水污染物的工业废水应当分类收集和处理，不得稀释排放。</w:t>
                  </w:r>
                </w:p>
              </w:tc>
              <w:tc>
                <w:tcPr>
                  <w:tcW w:w="2120" w:type="pct"/>
                  <w:vAlign w:val="center"/>
                </w:tcPr>
                <w:p>
                  <w:pPr>
                    <w:rPr>
                      <w:szCs w:val="21"/>
                    </w:rPr>
                  </w:pPr>
                  <w:r>
                    <w:rPr>
                      <w:rFonts w:hint="eastAsia"/>
                      <w:color w:val="0000FF"/>
                      <w:szCs w:val="21"/>
                    </w:rPr>
                    <w:t>项目运营期要求严格落实环评提出的水污染防治措施，具体为设置沉淀池对洗砂废水进行收集沉淀处理后回用于洗砂生产线；要求设置化粪池对生活污水进行收集沉淀处理，化粪池下游配套建设</w:t>
                  </w:r>
                  <w:r>
                    <w:rPr>
                      <w:color w:val="0000FF"/>
                      <w:szCs w:val="21"/>
                    </w:rPr>
                    <w:t>2</w:t>
                  </w:r>
                  <w:r>
                    <w:rPr>
                      <w:rFonts w:hint="eastAsia"/>
                      <w:color w:val="0000FF"/>
                      <w:szCs w:val="21"/>
                    </w:rPr>
                    <w:t>m³清水池1座对化粪池上清液进行收集后回用于洗砂生产线，不外排；要求设置初期雨水收集池对厂区初期雨水进行收集后回用于洗砂工段和洒水降尘，初期雨水不外排。</w:t>
                  </w:r>
                  <w:r>
                    <w:rPr>
                      <w:rFonts w:hint="eastAsia" w:cs="宋体"/>
                      <w:szCs w:val="21"/>
                    </w:rPr>
                    <w:t>综上，项目运营期生产生活废水经合理收集后回用，不向外环境排放。</w:t>
                  </w:r>
                </w:p>
              </w:tc>
              <w:tc>
                <w:tcPr>
                  <w:tcW w:w="495" w:type="pct"/>
                  <w:vAlign w:val="center"/>
                </w:tcPr>
                <w:p>
                  <w:pPr>
                    <w:jc w:val="center"/>
                    <w:rPr>
                      <w:szCs w:val="21"/>
                    </w:rPr>
                  </w:pPr>
                  <w:r>
                    <w:rPr>
                      <w:rFonts w:hint="eastAsia"/>
                      <w:szCs w:val="21"/>
                    </w:rPr>
                    <w:t>符合</w:t>
                  </w:r>
                </w:p>
              </w:tc>
            </w:tr>
          </w:tbl>
          <w:p>
            <w:pPr>
              <w:spacing w:line="360" w:lineRule="auto"/>
              <w:rPr>
                <w:rFonts w:ascii="黑体" w:hAnsi="黑体" w:eastAsia="黑体"/>
                <w:b/>
                <w:bCs/>
                <w:kern w:val="0"/>
                <w:sz w:val="24"/>
              </w:rPr>
            </w:pPr>
            <w:r>
              <w:rPr>
                <w:rFonts w:hint="eastAsia" w:ascii="黑体" w:hAnsi="黑体" w:eastAsia="黑体"/>
                <w:b/>
                <w:bCs/>
                <w:kern w:val="0"/>
                <w:sz w:val="24"/>
              </w:rPr>
              <w:t>（六）项目选址及平面布置合理性分析</w:t>
            </w:r>
          </w:p>
          <w:p>
            <w:pPr>
              <w:spacing w:line="360" w:lineRule="auto"/>
              <w:rPr>
                <w:b/>
                <w:bCs/>
                <w:sz w:val="24"/>
              </w:rPr>
            </w:pPr>
            <w:r>
              <w:rPr>
                <w:rFonts w:hint="eastAsia"/>
                <w:b/>
                <w:bCs/>
                <w:sz w:val="24"/>
              </w:rPr>
              <w:t>1、项目选址合理性分析</w:t>
            </w:r>
          </w:p>
          <w:p>
            <w:pPr>
              <w:spacing w:line="360" w:lineRule="auto"/>
              <w:ind w:firstLine="480" w:firstLineChars="200"/>
              <w:rPr>
                <w:sz w:val="24"/>
              </w:rPr>
            </w:pPr>
            <w:r>
              <w:rPr>
                <w:sz w:val="24"/>
              </w:rPr>
              <w:t>（1）</w:t>
            </w:r>
            <w:r>
              <w:rPr>
                <w:rFonts w:hint="eastAsia"/>
                <w:sz w:val="24"/>
              </w:rPr>
              <w:t>项目厂址位于维西傈僳族自治县白济汛乡下笼嘎</w:t>
            </w:r>
            <w:r>
              <w:rPr>
                <w:rFonts w:hint="eastAsia" w:cs="宋体"/>
                <w:sz w:val="24"/>
              </w:rPr>
              <w:t>，根据现场勘察，项目选址周边</w:t>
            </w:r>
            <w:r>
              <w:rPr>
                <w:sz w:val="24"/>
              </w:rPr>
              <w:t>没有需要特殊保护的文物、风景游览区、名胜古迹和文化自然遗产。不</w:t>
            </w:r>
            <w:r>
              <w:rPr>
                <w:rFonts w:hint="eastAsia"/>
                <w:sz w:val="24"/>
              </w:rPr>
              <w:t>涉及</w:t>
            </w:r>
            <w:r>
              <w:rPr>
                <w:sz w:val="24"/>
              </w:rPr>
              <w:t>自然保护区、生活饮用水源保护区、风景名胜区、生态功能保护区和其他需要特别保护的范围，没有国家规定保护的珍稀动植物</w:t>
            </w:r>
            <w:r>
              <w:rPr>
                <w:rFonts w:hint="eastAsia"/>
                <w:sz w:val="24"/>
              </w:rPr>
              <w:t>分布</w:t>
            </w:r>
            <w:r>
              <w:rPr>
                <w:sz w:val="24"/>
              </w:rPr>
              <w:t>。</w:t>
            </w:r>
            <w:r>
              <w:rPr>
                <w:rFonts w:hint="eastAsia"/>
                <w:sz w:val="24"/>
              </w:rPr>
              <w:t>根据维西县自然资源局生态保护红线查询数据审批表，项目选址不占用生态保护红线。</w:t>
            </w:r>
          </w:p>
          <w:p>
            <w:pPr>
              <w:spacing w:line="360" w:lineRule="auto"/>
              <w:ind w:firstLine="480" w:firstLineChars="200"/>
              <w:rPr>
                <w:sz w:val="24"/>
              </w:rPr>
            </w:pPr>
            <w:r>
              <w:rPr>
                <w:sz w:val="24"/>
              </w:rPr>
              <w:t>（2）</w:t>
            </w:r>
            <w:r>
              <w:rPr>
                <w:rFonts w:hint="eastAsia"/>
                <w:sz w:val="24"/>
              </w:rPr>
              <w:t>本项目国民经济行业类别为：C3099 其它非金属矿物制品制造，不属于“两高”项目，不属《产业结构调整指导目录》（2019年本）中的限制类和淘汰类建设项目，符合一般管控单元生态环境准入清单相关要求。</w:t>
            </w:r>
          </w:p>
          <w:p>
            <w:pPr>
              <w:spacing w:line="360" w:lineRule="auto"/>
              <w:ind w:firstLine="480" w:firstLineChars="200"/>
              <w:rPr>
                <w:sz w:val="24"/>
              </w:rPr>
            </w:pPr>
            <w:bookmarkStart w:id="16" w:name="_Hlk138683382"/>
            <w:r>
              <w:rPr>
                <w:rFonts w:hint="eastAsia"/>
                <w:sz w:val="24"/>
              </w:rPr>
              <w:t>（</w:t>
            </w:r>
            <w:r>
              <w:rPr>
                <w:sz w:val="24"/>
              </w:rPr>
              <w:t>3</w:t>
            </w:r>
            <w:r>
              <w:rPr>
                <w:rFonts w:hint="eastAsia"/>
                <w:sz w:val="24"/>
              </w:rPr>
              <w:t>）根据现场勘查，项目厂址西北侧约</w:t>
            </w:r>
            <w:r>
              <w:rPr>
                <w:sz w:val="24"/>
              </w:rPr>
              <w:t>240</w:t>
            </w:r>
            <w:r>
              <w:rPr>
                <w:rFonts w:hint="eastAsia"/>
                <w:sz w:val="24"/>
              </w:rPr>
              <w:t>m为下笼嘎村散户，北侧约</w:t>
            </w:r>
            <w:r>
              <w:rPr>
                <w:sz w:val="24"/>
              </w:rPr>
              <w:t>270</w:t>
            </w:r>
            <w:r>
              <w:rPr>
                <w:rFonts w:hint="eastAsia"/>
                <w:sz w:val="24"/>
              </w:rPr>
              <w:t>m为下笼嘎村聚集区。</w:t>
            </w:r>
            <w:r>
              <w:rPr>
                <w:rFonts w:hint="eastAsia"/>
                <w:color w:val="0000FF"/>
                <w:sz w:val="24"/>
              </w:rPr>
              <w:t>由于不项目运营期主要无组织排放大气污染物为颗粒物（TSP），其不属于大气有毒有害位置，故按照《大气有害物质无组织排放卫生防护距离推导技术导则》（GB</w:t>
            </w:r>
            <w:r>
              <w:rPr>
                <w:color w:val="0000FF"/>
                <w:sz w:val="24"/>
              </w:rPr>
              <w:t>/</w:t>
            </w:r>
            <w:r>
              <w:rPr>
                <w:rFonts w:hint="eastAsia"/>
                <w:color w:val="0000FF"/>
                <w:sz w:val="24"/>
              </w:rPr>
              <w:t>T</w:t>
            </w:r>
            <w:r>
              <w:rPr>
                <w:color w:val="0000FF"/>
                <w:sz w:val="24"/>
              </w:rPr>
              <w:t xml:space="preserve"> 39499-2020</w:t>
            </w:r>
            <w:r>
              <w:rPr>
                <w:rFonts w:hint="eastAsia"/>
                <w:color w:val="0000FF"/>
                <w:sz w:val="24"/>
              </w:rPr>
              <w:t>）相关要求，本项目无需设置为卫生防护距离。</w:t>
            </w:r>
            <w:r>
              <w:rPr>
                <w:rFonts w:hint="eastAsia"/>
                <w:sz w:val="24"/>
              </w:rPr>
              <w:t>其次，区域主导风向为东南风，根据大气环境影响分析，项目运营期无组织颗粒物排放可达《大气污染物综合排放标准》（GB 16297-1996）表2中无组织排放监控浓度限值要求，最大落地浓度距离为下风向3</w:t>
            </w:r>
            <w:r>
              <w:rPr>
                <w:sz w:val="24"/>
              </w:rPr>
              <w:t>3.0</w:t>
            </w:r>
            <w:r>
              <w:rPr>
                <w:rFonts w:hint="eastAsia"/>
                <w:sz w:val="24"/>
              </w:rPr>
              <w:t>m，故运营期颗粒物无组织排放对项目区周边大气环境保护目标的影响在可接受范围内；运营期噪声排放可达《工业企业场界环境噪声排放标准》（GB 12348-2008）2类功能区限值要求，项目厂界周边5</w:t>
            </w:r>
            <w:r>
              <w:rPr>
                <w:sz w:val="24"/>
              </w:rPr>
              <w:t>0</w:t>
            </w:r>
            <w:r>
              <w:rPr>
                <w:rFonts w:hint="eastAsia"/>
                <w:sz w:val="24"/>
              </w:rPr>
              <w:t>m内无声环境保护目标分布，故运营期噪声排放对外环境的影响在可接受范围内。</w:t>
            </w:r>
          </w:p>
          <w:bookmarkEnd w:id="16"/>
          <w:p>
            <w:pPr>
              <w:spacing w:line="360" w:lineRule="auto"/>
              <w:ind w:firstLine="480" w:firstLineChars="200"/>
              <w:rPr>
                <w:sz w:val="24"/>
              </w:rPr>
            </w:pPr>
            <w:r>
              <w:rPr>
                <w:sz w:val="24"/>
              </w:rPr>
              <w:t>综合分析，</w:t>
            </w:r>
            <w:r>
              <w:rPr>
                <w:rFonts w:hint="eastAsia"/>
                <w:sz w:val="24"/>
              </w:rPr>
              <w:t>从环境保护的角度考虑，</w:t>
            </w:r>
            <w:r>
              <w:rPr>
                <w:sz w:val="24"/>
              </w:rPr>
              <w:t>本项目选址合理。</w:t>
            </w:r>
          </w:p>
          <w:p>
            <w:pPr>
              <w:spacing w:line="360" w:lineRule="auto"/>
              <w:rPr>
                <w:b/>
                <w:bCs/>
                <w:sz w:val="24"/>
              </w:rPr>
            </w:pPr>
            <w:r>
              <w:rPr>
                <w:rFonts w:hint="eastAsia"/>
                <w:b/>
                <w:bCs/>
                <w:sz w:val="24"/>
              </w:rPr>
              <w:t>2、项目平面布置合理性分析</w:t>
            </w:r>
          </w:p>
          <w:p>
            <w:pPr>
              <w:adjustRightInd w:val="0"/>
              <w:snapToGrid w:val="0"/>
              <w:spacing w:line="360" w:lineRule="auto"/>
              <w:ind w:firstLine="480" w:firstLineChars="200"/>
              <w:rPr>
                <w:sz w:val="24"/>
              </w:rPr>
            </w:pPr>
            <w:r>
              <w:rPr>
                <w:rFonts w:hint="eastAsia"/>
                <w:sz w:val="24"/>
              </w:rPr>
              <w:t>本工程堆料场区、运输道路区、加工生产区、办公生活区、进场道路区布设靠周边现状道路东北方向50m运输道路区与进场道路区贯穿于整个项目区，运输道路主要方便砂石料运输，进场道路主要为成品砂石料的运输。污水处理区布置于项目区东南侧，地势高程相关较低，依靠重力自流便可实现污水收集。项目场地布设紧凑，功能分区明确，各功能区衔接合理，工程布局能保证土地资源的充分利用，且最大程度的发挥各项设施工作效率，项目整体功能分区设置符合环境保护要求。</w:t>
            </w:r>
          </w:p>
          <w:p>
            <w:pPr>
              <w:adjustRightInd w:val="0"/>
              <w:snapToGrid w:val="0"/>
              <w:spacing w:line="360" w:lineRule="auto"/>
              <w:ind w:firstLine="480" w:firstLineChars="200"/>
              <w:rPr>
                <w:sz w:val="24"/>
              </w:rPr>
            </w:pPr>
            <w:r>
              <w:rPr>
                <w:rFonts w:hint="eastAsia"/>
                <w:sz w:val="24"/>
              </w:rPr>
              <w:t>根据主体设计，本项目充分利用现状自然坡地高差，将用地分成两块台地合理布局建筑，东南侧台地相对较低，且进场道路出入口位于西南侧，运输道路出入口位于东北侧，使得进场道路及运输道路贯穿整个项目区内。利用现状自然坡地高差，将用地分成两块台地合理布局建筑，东南侧台地相对较低，原始标高1732.53m～1741.44m之间，建设完工后，场地整体标高为1730.11~1739.01m。用地规划从西南至东北依次为：进场道路、加工生产区、办公生活区、堆料场区、污水处理区，各功能分区之间联系紧密、互相依存。其中，污水处理区位于项目区成品堆料区东南侧全厂地势最低处，初期雨水收集池、三级沉淀池、清水池两两并排布置，污水处理区北侧设置污泥堆存区；项目东北侧出入口处设置洗车区，办公生活区西侧设置危废暂存间，</w:t>
            </w:r>
            <w:r>
              <w:rPr>
                <w:rFonts w:hint="eastAsia"/>
                <w:color w:val="0000FF"/>
                <w:sz w:val="24"/>
              </w:rPr>
              <w:t>办公生活区东侧设置水冲厕、化粪池及清水池。</w:t>
            </w:r>
            <w:r>
              <w:rPr>
                <w:rFonts w:hint="eastAsia"/>
                <w:sz w:val="24"/>
              </w:rPr>
              <w:t>项目区北侧、南侧、东侧依据地势设置截排水沟，确保污废水可完全依靠重力自流排入污水处理区（项目平面布置详见</w:t>
            </w:r>
            <w:r>
              <w:rPr>
                <w:rFonts w:hint="eastAsia"/>
                <w:b/>
                <w:sz w:val="24"/>
                <w:u w:val="single"/>
              </w:rPr>
              <w:t>附图2</w:t>
            </w:r>
            <w:r>
              <w:rPr>
                <w:rFonts w:hint="eastAsia"/>
                <w:sz w:val="24"/>
              </w:rPr>
              <w:t>）。</w:t>
            </w:r>
          </w:p>
          <w:p>
            <w:pPr>
              <w:spacing w:line="360" w:lineRule="auto"/>
              <w:ind w:firstLine="480" w:firstLineChars="200"/>
              <w:rPr>
                <w:sz w:val="24"/>
              </w:rPr>
            </w:pPr>
            <w:r>
              <w:rPr>
                <w:rFonts w:hint="eastAsia"/>
                <w:sz w:val="24"/>
              </w:rPr>
              <w:t>工程区设计标高结合现状场地标高进行，无大挖大填施工扰动，项目建设最大程度上减少土石方开挖量及弃土的产生，项目总体布局合理调配利用项目区土石方，有效少了土石方开挖和弃土的产生，还布置了硬化、排水、绿化等具有水保功能的措施，有效地减少了项目区的水土流失。</w:t>
            </w:r>
          </w:p>
          <w:p>
            <w:pPr>
              <w:spacing w:line="360" w:lineRule="auto"/>
              <w:ind w:firstLine="480" w:firstLineChars="200"/>
              <w:rPr>
                <w:sz w:val="24"/>
              </w:rPr>
            </w:pPr>
            <w:r>
              <w:rPr>
                <w:rFonts w:hint="eastAsia"/>
                <w:sz w:val="24"/>
              </w:rPr>
              <w:t>综上分析，项目平面布置合理利用现状自然坡地高差，功能分区明确，平面布置紧凑有序，从环境保护的角度分析，项目平面布置合理。</w:t>
            </w:r>
          </w:p>
        </w:tc>
      </w:tr>
    </w:tbl>
    <w:p>
      <w:pPr>
        <w:spacing w:line="360" w:lineRule="auto"/>
        <w:rPr>
          <w:sz w:val="30"/>
        </w:rPr>
        <w:sectPr>
          <w:footerReference r:id="rId5" w:type="default"/>
          <w:pgSz w:w="11906" w:h="16838"/>
          <w:pgMar w:top="1701" w:right="1531" w:bottom="1701" w:left="1531" w:header="851" w:footer="1077" w:gutter="0"/>
          <w:pgNumType w:start="1"/>
          <w:cols w:space="720" w:num="1"/>
          <w:docGrid w:linePitch="312" w:charSpace="0"/>
        </w:sectPr>
      </w:pPr>
    </w:p>
    <w:p>
      <w:pPr>
        <w:pStyle w:val="30"/>
        <w:numPr>
          <w:ilvl w:val="0"/>
          <w:numId w:val="2"/>
        </w:numPr>
        <w:spacing w:before="0" w:beforeAutospacing="0" w:after="0" w:afterAutospacing="0"/>
        <w:jc w:val="center"/>
        <w:outlineLvl w:val="0"/>
        <w:rPr>
          <w:rFonts w:ascii="黑体" w:hAnsi="黑体" w:eastAsia="黑体"/>
          <w:b/>
          <w:bCs/>
          <w:snapToGrid w:val="0"/>
          <w:sz w:val="30"/>
          <w:szCs w:val="30"/>
        </w:rPr>
      </w:pPr>
      <w:bookmarkStart w:id="17" w:name="_Toc140064120"/>
      <w:r>
        <w:rPr>
          <w:rFonts w:ascii="黑体" w:hAnsi="黑体" w:eastAsia="黑体"/>
          <w:b/>
          <w:bCs/>
          <w:snapToGrid w:val="0"/>
          <w:sz w:val="30"/>
          <w:szCs w:val="30"/>
        </w:rPr>
        <w:t>建设项目工程分析</w:t>
      </w:r>
      <w:bookmarkEnd w:id="17"/>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51"/>
        <w:gridCol w:w="839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551" w:type="dxa"/>
            <w:vAlign w:val="center"/>
          </w:tcPr>
          <w:p>
            <w:pPr>
              <w:pStyle w:val="30"/>
              <w:adjustRightInd w:val="0"/>
              <w:snapToGrid w:val="0"/>
              <w:spacing w:before="0" w:beforeAutospacing="0" w:after="0" w:afterAutospacing="0"/>
              <w:jc w:val="center"/>
              <w:rPr>
                <w:rFonts w:ascii="Times New Roman" w:hAnsi="Times New Roman"/>
                <w:szCs w:val="24"/>
              </w:rPr>
            </w:pPr>
            <w:bookmarkStart w:id="18" w:name="_Hlk141306836"/>
            <w:r>
              <w:rPr>
                <w:rFonts w:ascii="Times New Roman" w:hAnsi="Times New Roman"/>
                <w:b/>
                <w:bCs/>
                <w:szCs w:val="24"/>
              </w:rPr>
              <w:t>建设内容</w:t>
            </w:r>
          </w:p>
        </w:tc>
        <w:tc>
          <w:tcPr>
            <w:tcW w:w="8391" w:type="dxa"/>
            <w:vAlign w:val="center"/>
          </w:tcPr>
          <w:p>
            <w:pPr>
              <w:spacing w:line="360" w:lineRule="auto"/>
              <w:rPr>
                <w:rFonts w:ascii="黑体" w:hAnsi="黑体" w:eastAsia="黑体"/>
                <w:b/>
                <w:bCs/>
                <w:kern w:val="0"/>
                <w:sz w:val="24"/>
              </w:rPr>
            </w:pPr>
            <w:bookmarkStart w:id="19" w:name="_Hlk140650836"/>
            <w:r>
              <w:rPr>
                <w:rFonts w:hint="eastAsia" w:ascii="黑体" w:hAnsi="黑体" w:eastAsia="黑体"/>
                <w:b/>
                <w:bCs/>
                <w:kern w:val="0"/>
                <w:sz w:val="24"/>
              </w:rPr>
              <w:t>（一）项目基本情况</w:t>
            </w:r>
          </w:p>
          <w:p>
            <w:pPr>
              <w:adjustRightInd w:val="0"/>
              <w:snapToGrid w:val="0"/>
              <w:spacing w:line="360" w:lineRule="auto"/>
              <w:ind w:firstLine="480" w:firstLineChars="200"/>
              <w:rPr>
                <w:sz w:val="24"/>
              </w:rPr>
            </w:pPr>
            <w:bookmarkStart w:id="20" w:name="_Hlk143155679"/>
            <w:r>
              <w:rPr>
                <w:rFonts w:hint="eastAsia"/>
                <w:sz w:val="24"/>
              </w:rPr>
              <w:t>项目名称：年产2</w:t>
            </w:r>
            <w:r>
              <w:rPr>
                <w:sz w:val="24"/>
              </w:rPr>
              <w:t>.4万吨机制砂生产线</w:t>
            </w:r>
            <w:r>
              <w:rPr>
                <w:rFonts w:hint="eastAsia"/>
                <w:sz w:val="24"/>
              </w:rPr>
              <w:t>建设项目</w:t>
            </w:r>
          </w:p>
          <w:p>
            <w:pPr>
              <w:adjustRightInd w:val="0"/>
              <w:snapToGrid w:val="0"/>
              <w:spacing w:line="360" w:lineRule="auto"/>
              <w:ind w:firstLine="480" w:firstLineChars="200"/>
              <w:rPr>
                <w:sz w:val="24"/>
              </w:rPr>
            </w:pPr>
            <w:r>
              <w:rPr>
                <w:rFonts w:hint="eastAsia"/>
                <w:sz w:val="24"/>
              </w:rPr>
              <w:t>建设单位：维西旭雄建筑材料销售有限公司</w:t>
            </w:r>
          </w:p>
          <w:p>
            <w:pPr>
              <w:adjustRightInd w:val="0"/>
              <w:snapToGrid w:val="0"/>
              <w:spacing w:line="360" w:lineRule="auto"/>
              <w:ind w:firstLine="480" w:firstLineChars="200"/>
              <w:rPr>
                <w:sz w:val="24"/>
              </w:rPr>
            </w:pPr>
            <w:r>
              <w:rPr>
                <w:rFonts w:hint="eastAsia"/>
                <w:sz w:val="24"/>
              </w:rPr>
              <w:t>建设性质：新建</w:t>
            </w:r>
          </w:p>
          <w:p>
            <w:pPr>
              <w:adjustRightInd w:val="0"/>
              <w:snapToGrid w:val="0"/>
              <w:spacing w:line="360" w:lineRule="auto"/>
              <w:ind w:firstLine="480" w:firstLineChars="200"/>
              <w:rPr>
                <w:sz w:val="24"/>
              </w:rPr>
            </w:pPr>
            <w:r>
              <w:rPr>
                <w:sz w:val="24"/>
              </w:rPr>
              <w:t>建设地点：</w:t>
            </w:r>
            <w:r>
              <w:rPr>
                <w:rFonts w:hint="eastAsia"/>
                <w:sz w:val="24"/>
              </w:rPr>
              <w:t>项目选址位于维西傈僳族自治县白济汛乡下笼嘎组，地理中心坐标为</w:t>
            </w:r>
            <w:r>
              <w:rPr>
                <w:sz w:val="24"/>
              </w:rPr>
              <w:t>东经：</w:t>
            </w:r>
            <w:r>
              <w:rPr>
                <w:rFonts w:hint="eastAsia"/>
                <w:sz w:val="24"/>
              </w:rPr>
              <w:t>9</w:t>
            </w:r>
            <w:r>
              <w:rPr>
                <w:sz w:val="24"/>
              </w:rPr>
              <w:t>9度</w:t>
            </w:r>
            <w:r>
              <w:rPr>
                <w:rFonts w:hint="eastAsia"/>
                <w:sz w:val="24"/>
              </w:rPr>
              <w:t>5</w:t>
            </w:r>
            <w:r>
              <w:rPr>
                <w:sz w:val="24"/>
              </w:rPr>
              <w:t>分7.2457秒，北纬：27度21分13.755秒</w:t>
            </w:r>
            <w:bookmarkEnd w:id="20"/>
            <w:r>
              <w:rPr>
                <w:rFonts w:hint="eastAsia"/>
                <w:sz w:val="24"/>
              </w:rPr>
              <w:t>，项目区四至坐标如下：</w:t>
            </w:r>
          </w:p>
          <w:p>
            <w:pPr>
              <w:adjustRightInd w:val="0"/>
              <w:snapToGrid w:val="0"/>
              <w:jc w:val="center"/>
              <w:rPr>
                <w:b/>
                <w:sz w:val="24"/>
              </w:rPr>
            </w:pPr>
            <w:r>
              <w:rPr>
                <w:rFonts w:hint="eastAsia"/>
                <w:b/>
                <w:sz w:val="24"/>
              </w:rPr>
              <w:t>表2</w:t>
            </w:r>
            <w:r>
              <w:rPr>
                <w:b/>
                <w:sz w:val="24"/>
              </w:rPr>
              <w:t xml:space="preserve">.1-1  </w:t>
            </w:r>
            <w:r>
              <w:rPr>
                <w:rFonts w:hint="eastAsia"/>
                <w:b/>
                <w:sz w:val="24"/>
              </w:rPr>
              <w:t>项目区范围坐标一览表</w:t>
            </w:r>
          </w:p>
          <w:tbl>
            <w:tblPr>
              <w:tblStyle w:val="32"/>
              <w:tblW w:w="5000" w:type="pct"/>
              <w:jc w:val="center"/>
              <w:tblLayout w:type="autofit"/>
              <w:tblCellMar>
                <w:top w:w="0" w:type="dxa"/>
                <w:left w:w="108" w:type="dxa"/>
                <w:bottom w:w="0" w:type="dxa"/>
                <w:right w:w="108" w:type="dxa"/>
              </w:tblCellMar>
            </w:tblPr>
            <w:tblGrid>
              <w:gridCol w:w="1640"/>
              <w:gridCol w:w="3402"/>
              <w:gridCol w:w="3133"/>
            </w:tblGrid>
            <w:tr>
              <w:tblPrEx>
                <w:tblCellMar>
                  <w:top w:w="0" w:type="dxa"/>
                  <w:left w:w="108" w:type="dxa"/>
                  <w:bottom w:w="0" w:type="dxa"/>
                  <w:right w:w="108" w:type="dxa"/>
                </w:tblCellMar>
              </w:tblPrEx>
              <w:trPr>
                <w:trHeight w:val="20" w:hRule="atLeast"/>
                <w:jc w:val="center"/>
              </w:trPr>
              <w:tc>
                <w:tcPr>
                  <w:tcW w:w="1003" w:type="pct"/>
                  <w:tcBorders>
                    <w:top w:val="single" w:color="000000" w:sz="4" w:space="0"/>
                    <w:left w:val="single" w:color="000000" w:sz="4" w:space="0"/>
                    <w:bottom w:val="single" w:color="000000" w:sz="4" w:space="0"/>
                    <w:right w:val="single" w:color="000000" w:sz="4" w:space="0"/>
                  </w:tcBorders>
                  <w:noWrap/>
                  <w:vAlign w:val="center"/>
                </w:tcPr>
                <w:p>
                  <w:pPr>
                    <w:pStyle w:val="113"/>
                    <w:spacing w:line="240" w:lineRule="auto"/>
                    <w:rPr>
                      <w:rFonts w:ascii="Times New Roman" w:hAnsi="Times New Roman"/>
                      <w:color w:val="auto"/>
                      <w:szCs w:val="21"/>
                    </w:rPr>
                  </w:pPr>
                  <w:r>
                    <w:rPr>
                      <w:rFonts w:ascii="Times New Roman" w:hAnsi="Times New Roman"/>
                      <w:color w:val="auto"/>
                      <w:szCs w:val="21"/>
                    </w:rPr>
                    <w:t>点号</w:t>
                  </w:r>
                </w:p>
              </w:tc>
              <w:tc>
                <w:tcPr>
                  <w:tcW w:w="2081" w:type="pct"/>
                  <w:tcBorders>
                    <w:top w:val="single" w:color="000000" w:sz="4" w:space="0"/>
                    <w:left w:val="single" w:color="000000" w:sz="4" w:space="0"/>
                    <w:bottom w:val="single" w:color="000000" w:sz="4" w:space="0"/>
                    <w:right w:val="single" w:color="000000" w:sz="4" w:space="0"/>
                  </w:tcBorders>
                  <w:vAlign w:val="center"/>
                </w:tcPr>
                <w:p>
                  <w:pPr>
                    <w:pStyle w:val="113"/>
                    <w:spacing w:line="240" w:lineRule="auto"/>
                    <w:rPr>
                      <w:rFonts w:ascii="Times New Roman" w:hAnsi="Times New Roman"/>
                      <w:color w:val="auto"/>
                      <w:szCs w:val="21"/>
                    </w:rPr>
                  </w:pPr>
                  <w:r>
                    <w:rPr>
                      <w:rFonts w:ascii="Times New Roman" w:hAnsi="Times New Roman"/>
                      <w:color w:val="auto"/>
                      <w:szCs w:val="21"/>
                    </w:rPr>
                    <w:t>X</w:t>
                  </w:r>
                </w:p>
              </w:tc>
              <w:tc>
                <w:tcPr>
                  <w:tcW w:w="1915" w:type="pct"/>
                  <w:tcBorders>
                    <w:top w:val="single" w:color="000000" w:sz="4" w:space="0"/>
                    <w:left w:val="single" w:color="000000" w:sz="4" w:space="0"/>
                    <w:bottom w:val="single" w:color="000000" w:sz="4" w:space="0"/>
                    <w:right w:val="single" w:color="000000" w:sz="4" w:space="0"/>
                  </w:tcBorders>
                  <w:noWrap/>
                  <w:vAlign w:val="center"/>
                </w:tcPr>
                <w:p>
                  <w:pPr>
                    <w:pStyle w:val="113"/>
                    <w:spacing w:line="240" w:lineRule="auto"/>
                    <w:rPr>
                      <w:rFonts w:ascii="Times New Roman" w:hAnsi="Times New Roman"/>
                      <w:color w:val="auto"/>
                      <w:szCs w:val="21"/>
                    </w:rPr>
                  </w:pPr>
                  <w:r>
                    <w:rPr>
                      <w:rFonts w:ascii="Times New Roman" w:hAnsi="Times New Roman"/>
                      <w:color w:val="auto"/>
                      <w:szCs w:val="21"/>
                    </w:rPr>
                    <w:t>Y</w:t>
                  </w:r>
                </w:p>
              </w:tc>
            </w:tr>
            <w:tr>
              <w:tblPrEx>
                <w:tblCellMar>
                  <w:top w:w="0" w:type="dxa"/>
                  <w:left w:w="108" w:type="dxa"/>
                  <w:bottom w:w="0" w:type="dxa"/>
                  <w:right w:w="108" w:type="dxa"/>
                </w:tblCellMar>
              </w:tblPrEx>
              <w:trPr>
                <w:trHeight w:val="20" w:hRule="atLeast"/>
                <w:jc w:val="center"/>
              </w:trPr>
              <w:tc>
                <w:tcPr>
                  <w:tcW w:w="1003" w:type="pct"/>
                  <w:tcBorders>
                    <w:top w:val="single" w:color="000000" w:sz="4" w:space="0"/>
                    <w:left w:val="single" w:color="000000" w:sz="4" w:space="0"/>
                    <w:bottom w:val="single" w:color="000000" w:sz="4" w:space="0"/>
                    <w:right w:val="single" w:color="000000" w:sz="4" w:space="0"/>
                  </w:tcBorders>
                  <w:noWrap/>
                  <w:vAlign w:val="center"/>
                </w:tcPr>
                <w:p>
                  <w:pPr>
                    <w:pStyle w:val="113"/>
                    <w:spacing w:line="240" w:lineRule="auto"/>
                    <w:rPr>
                      <w:rFonts w:ascii="Times New Roman" w:hAnsi="Times New Roman"/>
                      <w:color w:val="auto"/>
                      <w:szCs w:val="21"/>
                    </w:rPr>
                  </w:pPr>
                  <w:r>
                    <w:rPr>
                      <w:rFonts w:ascii="Times New Roman" w:hAnsi="Times New Roman"/>
                      <w:color w:val="auto"/>
                      <w:szCs w:val="21"/>
                    </w:rPr>
                    <w:t>1</w:t>
                  </w:r>
                </w:p>
              </w:tc>
              <w:tc>
                <w:tcPr>
                  <w:tcW w:w="2081" w:type="pct"/>
                  <w:tcBorders>
                    <w:top w:val="single" w:color="000000" w:sz="4" w:space="0"/>
                    <w:left w:val="single" w:color="000000" w:sz="4" w:space="0"/>
                    <w:bottom w:val="single" w:color="000000" w:sz="4" w:space="0"/>
                    <w:right w:val="single" w:color="000000" w:sz="4" w:space="0"/>
                  </w:tcBorders>
                  <w:noWrap/>
                  <w:vAlign w:val="center"/>
                </w:tcPr>
                <w:p>
                  <w:pPr>
                    <w:pStyle w:val="113"/>
                    <w:spacing w:line="240" w:lineRule="auto"/>
                    <w:rPr>
                      <w:rFonts w:ascii="Times New Roman" w:hAnsi="Times New Roman"/>
                      <w:color w:val="auto"/>
                      <w:szCs w:val="21"/>
                    </w:rPr>
                  </w:pPr>
                  <w:r>
                    <w:rPr>
                      <w:rFonts w:ascii="Times New Roman" w:hAnsi="Times New Roman"/>
                      <w:color w:val="auto"/>
                      <w:szCs w:val="21"/>
                    </w:rPr>
                    <w:t>3026858.782</w:t>
                  </w:r>
                </w:p>
              </w:tc>
              <w:tc>
                <w:tcPr>
                  <w:tcW w:w="1915" w:type="pct"/>
                  <w:tcBorders>
                    <w:top w:val="single" w:color="000000" w:sz="4" w:space="0"/>
                    <w:left w:val="single" w:color="000000" w:sz="4" w:space="0"/>
                    <w:bottom w:val="single" w:color="000000" w:sz="4" w:space="0"/>
                    <w:right w:val="single" w:color="000000" w:sz="4" w:space="0"/>
                  </w:tcBorders>
                  <w:noWrap/>
                  <w:vAlign w:val="center"/>
                </w:tcPr>
                <w:p>
                  <w:pPr>
                    <w:pStyle w:val="113"/>
                    <w:spacing w:line="240" w:lineRule="auto"/>
                    <w:rPr>
                      <w:rFonts w:ascii="Times New Roman" w:hAnsi="Times New Roman"/>
                      <w:color w:val="auto"/>
                      <w:szCs w:val="21"/>
                    </w:rPr>
                  </w:pPr>
                  <w:r>
                    <w:rPr>
                      <w:rFonts w:ascii="Times New Roman" w:hAnsi="Times New Roman"/>
                      <w:color w:val="auto"/>
                      <w:szCs w:val="21"/>
                    </w:rPr>
                    <w:t>508430.185</w:t>
                  </w:r>
                </w:p>
              </w:tc>
            </w:tr>
            <w:tr>
              <w:tblPrEx>
                <w:tblCellMar>
                  <w:top w:w="0" w:type="dxa"/>
                  <w:left w:w="108" w:type="dxa"/>
                  <w:bottom w:w="0" w:type="dxa"/>
                  <w:right w:w="108" w:type="dxa"/>
                </w:tblCellMar>
              </w:tblPrEx>
              <w:trPr>
                <w:trHeight w:val="20" w:hRule="atLeast"/>
                <w:jc w:val="center"/>
              </w:trPr>
              <w:tc>
                <w:tcPr>
                  <w:tcW w:w="1003" w:type="pct"/>
                  <w:tcBorders>
                    <w:top w:val="single" w:color="000000" w:sz="4" w:space="0"/>
                    <w:left w:val="single" w:color="000000" w:sz="4" w:space="0"/>
                    <w:bottom w:val="single" w:color="000000" w:sz="4" w:space="0"/>
                    <w:right w:val="single" w:color="000000" w:sz="4" w:space="0"/>
                  </w:tcBorders>
                  <w:noWrap/>
                  <w:vAlign w:val="center"/>
                </w:tcPr>
                <w:p>
                  <w:pPr>
                    <w:pStyle w:val="113"/>
                    <w:spacing w:line="240" w:lineRule="auto"/>
                    <w:rPr>
                      <w:rFonts w:ascii="Times New Roman" w:hAnsi="Times New Roman"/>
                      <w:color w:val="auto"/>
                      <w:szCs w:val="21"/>
                    </w:rPr>
                  </w:pPr>
                  <w:r>
                    <w:rPr>
                      <w:rFonts w:ascii="Times New Roman" w:hAnsi="Times New Roman"/>
                      <w:color w:val="auto"/>
                      <w:szCs w:val="21"/>
                    </w:rPr>
                    <w:t>2</w:t>
                  </w:r>
                </w:p>
              </w:tc>
              <w:tc>
                <w:tcPr>
                  <w:tcW w:w="2081" w:type="pct"/>
                  <w:tcBorders>
                    <w:top w:val="single" w:color="000000" w:sz="4" w:space="0"/>
                    <w:left w:val="single" w:color="000000" w:sz="4" w:space="0"/>
                    <w:bottom w:val="single" w:color="000000" w:sz="4" w:space="0"/>
                    <w:right w:val="single" w:color="000000" w:sz="4" w:space="0"/>
                  </w:tcBorders>
                  <w:noWrap/>
                  <w:vAlign w:val="center"/>
                </w:tcPr>
                <w:p>
                  <w:pPr>
                    <w:pStyle w:val="113"/>
                    <w:spacing w:line="240" w:lineRule="auto"/>
                    <w:rPr>
                      <w:rFonts w:ascii="Times New Roman" w:hAnsi="Times New Roman"/>
                      <w:color w:val="auto"/>
                      <w:szCs w:val="21"/>
                    </w:rPr>
                  </w:pPr>
                  <w:r>
                    <w:rPr>
                      <w:rFonts w:ascii="Times New Roman" w:hAnsi="Times New Roman"/>
                      <w:color w:val="auto"/>
                      <w:szCs w:val="21"/>
                    </w:rPr>
                    <w:t>3026851.665</w:t>
                  </w:r>
                </w:p>
              </w:tc>
              <w:tc>
                <w:tcPr>
                  <w:tcW w:w="1915" w:type="pct"/>
                  <w:tcBorders>
                    <w:top w:val="single" w:color="000000" w:sz="4" w:space="0"/>
                    <w:left w:val="single" w:color="000000" w:sz="4" w:space="0"/>
                    <w:bottom w:val="single" w:color="000000" w:sz="4" w:space="0"/>
                    <w:right w:val="single" w:color="000000" w:sz="4" w:space="0"/>
                  </w:tcBorders>
                  <w:noWrap/>
                  <w:vAlign w:val="center"/>
                </w:tcPr>
                <w:p>
                  <w:pPr>
                    <w:pStyle w:val="113"/>
                    <w:spacing w:line="240" w:lineRule="auto"/>
                    <w:rPr>
                      <w:rFonts w:ascii="Times New Roman" w:hAnsi="Times New Roman"/>
                      <w:color w:val="auto"/>
                      <w:szCs w:val="21"/>
                    </w:rPr>
                  </w:pPr>
                  <w:r>
                    <w:rPr>
                      <w:rFonts w:ascii="Times New Roman" w:hAnsi="Times New Roman"/>
                      <w:color w:val="auto"/>
                      <w:szCs w:val="21"/>
                    </w:rPr>
                    <w:t>508439.478</w:t>
                  </w:r>
                </w:p>
              </w:tc>
            </w:tr>
            <w:tr>
              <w:tblPrEx>
                <w:tblCellMar>
                  <w:top w:w="0" w:type="dxa"/>
                  <w:left w:w="108" w:type="dxa"/>
                  <w:bottom w:w="0" w:type="dxa"/>
                  <w:right w:w="108" w:type="dxa"/>
                </w:tblCellMar>
              </w:tblPrEx>
              <w:trPr>
                <w:trHeight w:val="20" w:hRule="atLeast"/>
                <w:jc w:val="center"/>
              </w:trPr>
              <w:tc>
                <w:tcPr>
                  <w:tcW w:w="1003" w:type="pct"/>
                  <w:tcBorders>
                    <w:top w:val="single" w:color="000000" w:sz="4" w:space="0"/>
                    <w:left w:val="single" w:color="000000" w:sz="4" w:space="0"/>
                    <w:bottom w:val="single" w:color="000000" w:sz="4" w:space="0"/>
                    <w:right w:val="single" w:color="000000" w:sz="4" w:space="0"/>
                  </w:tcBorders>
                  <w:noWrap/>
                  <w:vAlign w:val="center"/>
                </w:tcPr>
                <w:p>
                  <w:pPr>
                    <w:pStyle w:val="113"/>
                    <w:spacing w:line="240" w:lineRule="auto"/>
                    <w:rPr>
                      <w:rFonts w:ascii="Times New Roman" w:hAnsi="Times New Roman"/>
                      <w:color w:val="auto"/>
                      <w:szCs w:val="21"/>
                    </w:rPr>
                  </w:pPr>
                  <w:r>
                    <w:rPr>
                      <w:rFonts w:ascii="Times New Roman" w:hAnsi="Times New Roman"/>
                      <w:color w:val="auto"/>
                      <w:szCs w:val="21"/>
                    </w:rPr>
                    <w:t>3</w:t>
                  </w:r>
                </w:p>
              </w:tc>
              <w:tc>
                <w:tcPr>
                  <w:tcW w:w="2081" w:type="pct"/>
                  <w:tcBorders>
                    <w:top w:val="single" w:color="000000" w:sz="4" w:space="0"/>
                    <w:left w:val="single" w:color="000000" w:sz="4" w:space="0"/>
                    <w:bottom w:val="single" w:color="000000" w:sz="4" w:space="0"/>
                    <w:right w:val="single" w:color="000000" w:sz="4" w:space="0"/>
                  </w:tcBorders>
                  <w:noWrap/>
                  <w:vAlign w:val="center"/>
                </w:tcPr>
                <w:p>
                  <w:pPr>
                    <w:pStyle w:val="113"/>
                    <w:spacing w:line="240" w:lineRule="auto"/>
                    <w:rPr>
                      <w:rFonts w:ascii="Times New Roman" w:hAnsi="Times New Roman"/>
                      <w:color w:val="auto"/>
                      <w:szCs w:val="21"/>
                    </w:rPr>
                  </w:pPr>
                  <w:r>
                    <w:rPr>
                      <w:rFonts w:ascii="Times New Roman" w:hAnsi="Times New Roman"/>
                      <w:color w:val="auto"/>
                      <w:szCs w:val="21"/>
                    </w:rPr>
                    <w:t>3026837.281</w:t>
                  </w:r>
                </w:p>
              </w:tc>
              <w:tc>
                <w:tcPr>
                  <w:tcW w:w="1915" w:type="pct"/>
                  <w:tcBorders>
                    <w:top w:val="single" w:color="000000" w:sz="4" w:space="0"/>
                    <w:left w:val="single" w:color="000000" w:sz="4" w:space="0"/>
                    <w:bottom w:val="single" w:color="000000" w:sz="4" w:space="0"/>
                    <w:right w:val="single" w:color="000000" w:sz="4" w:space="0"/>
                  </w:tcBorders>
                  <w:noWrap/>
                  <w:vAlign w:val="center"/>
                </w:tcPr>
                <w:p>
                  <w:pPr>
                    <w:pStyle w:val="113"/>
                    <w:spacing w:line="240" w:lineRule="auto"/>
                    <w:rPr>
                      <w:rFonts w:ascii="Times New Roman" w:hAnsi="Times New Roman"/>
                      <w:color w:val="auto"/>
                      <w:szCs w:val="21"/>
                    </w:rPr>
                  </w:pPr>
                  <w:r>
                    <w:rPr>
                      <w:rFonts w:ascii="Times New Roman" w:hAnsi="Times New Roman"/>
                      <w:color w:val="auto"/>
                      <w:szCs w:val="21"/>
                    </w:rPr>
                    <w:t>508459.952</w:t>
                  </w:r>
                </w:p>
              </w:tc>
            </w:tr>
            <w:tr>
              <w:tblPrEx>
                <w:tblCellMar>
                  <w:top w:w="0" w:type="dxa"/>
                  <w:left w:w="108" w:type="dxa"/>
                  <w:bottom w:w="0" w:type="dxa"/>
                  <w:right w:w="108" w:type="dxa"/>
                </w:tblCellMar>
              </w:tblPrEx>
              <w:trPr>
                <w:trHeight w:val="20" w:hRule="atLeast"/>
                <w:jc w:val="center"/>
              </w:trPr>
              <w:tc>
                <w:tcPr>
                  <w:tcW w:w="1003" w:type="pct"/>
                  <w:tcBorders>
                    <w:top w:val="single" w:color="000000" w:sz="4" w:space="0"/>
                    <w:left w:val="single" w:color="000000" w:sz="4" w:space="0"/>
                    <w:bottom w:val="single" w:color="000000" w:sz="4" w:space="0"/>
                    <w:right w:val="single" w:color="000000" w:sz="4" w:space="0"/>
                  </w:tcBorders>
                  <w:noWrap/>
                  <w:vAlign w:val="center"/>
                </w:tcPr>
                <w:p>
                  <w:pPr>
                    <w:pStyle w:val="113"/>
                    <w:spacing w:line="240" w:lineRule="auto"/>
                    <w:rPr>
                      <w:rFonts w:ascii="Times New Roman" w:hAnsi="Times New Roman"/>
                      <w:color w:val="auto"/>
                      <w:szCs w:val="21"/>
                    </w:rPr>
                  </w:pPr>
                  <w:r>
                    <w:rPr>
                      <w:rFonts w:ascii="Times New Roman" w:hAnsi="Times New Roman"/>
                      <w:color w:val="auto"/>
                      <w:szCs w:val="21"/>
                    </w:rPr>
                    <w:t>4</w:t>
                  </w:r>
                </w:p>
              </w:tc>
              <w:tc>
                <w:tcPr>
                  <w:tcW w:w="2081" w:type="pct"/>
                  <w:tcBorders>
                    <w:top w:val="single" w:color="000000" w:sz="4" w:space="0"/>
                    <w:left w:val="single" w:color="000000" w:sz="4" w:space="0"/>
                    <w:bottom w:val="single" w:color="000000" w:sz="4" w:space="0"/>
                    <w:right w:val="single" w:color="000000" w:sz="4" w:space="0"/>
                  </w:tcBorders>
                  <w:noWrap/>
                  <w:vAlign w:val="center"/>
                </w:tcPr>
                <w:p>
                  <w:pPr>
                    <w:pStyle w:val="113"/>
                    <w:spacing w:line="240" w:lineRule="auto"/>
                    <w:rPr>
                      <w:rFonts w:ascii="Times New Roman" w:hAnsi="Times New Roman"/>
                      <w:color w:val="auto"/>
                      <w:szCs w:val="21"/>
                    </w:rPr>
                  </w:pPr>
                  <w:r>
                    <w:rPr>
                      <w:rFonts w:ascii="Times New Roman" w:hAnsi="Times New Roman"/>
                      <w:color w:val="auto"/>
                      <w:szCs w:val="21"/>
                    </w:rPr>
                    <w:t>3026808.873</w:t>
                  </w:r>
                </w:p>
              </w:tc>
              <w:tc>
                <w:tcPr>
                  <w:tcW w:w="1915" w:type="pct"/>
                  <w:tcBorders>
                    <w:top w:val="single" w:color="000000" w:sz="4" w:space="0"/>
                    <w:left w:val="single" w:color="000000" w:sz="4" w:space="0"/>
                    <w:bottom w:val="single" w:color="000000" w:sz="4" w:space="0"/>
                    <w:right w:val="single" w:color="000000" w:sz="4" w:space="0"/>
                  </w:tcBorders>
                  <w:noWrap/>
                  <w:vAlign w:val="center"/>
                </w:tcPr>
                <w:p>
                  <w:pPr>
                    <w:pStyle w:val="113"/>
                    <w:spacing w:line="240" w:lineRule="auto"/>
                    <w:rPr>
                      <w:rFonts w:ascii="Times New Roman" w:hAnsi="Times New Roman"/>
                      <w:color w:val="auto"/>
                      <w:szCs w:val="21"/>
                    </w:rPr>
                  </w:pPr>
                  <w:r>
                    <w:rPr>
                      <w:rFonts w:ascii="Times New Roman" w:hAnsi="Times New Roman"/>
                      <w:color w:val="auto"/>
                      <w:szCs w:val="21"/>
                    </w:rPr>
                    <w:t>508460.397</w:t>
                  </w:r>
                </w:p>
              </w:tc>
            </w:tr>
            <w:tr>
              <w:tblPrEx>
                <w:tblCellMar>
                  <w:top w:w="0" w:type="dxa"/>
                  <w:left w:w="108" w:type="dxa"/>
                  <w:bottom w:w="0" w:type="dxa"/>
                  <w:right w:w="108" w:type="dxa"/>
                </w:tblCellMar>
              </w:tblPrEx>
              <w:trPr>
                <w:trHeight w:val="20" w:hRule="atLeast"/>
                <w:jc w:val="center"/>
              </w:trPr>
              <w:tc>
                <w:tcPr>
                  <w:tcW w:w="1003" w:type="pct"/>
                  <w:tcBorders>
                    <w:top w:val="single" w:color="000000" w:sz="4" w:space="0"/>
                    <w:left w:val="single" w:color="000000" w:sz="4" w:space="0"/>
                    <w:bottom w:val="single" w:color="000000" w:sz="4" w:space="0"/>
                    <w:right w:val="single" w:color="000000" w:sz="4" w:space="0"/>
                  </w:tcBorders>
                  <w:noWrap/>
                  <w:vAlign w:val="center"/>
                </w:tcPr>
                <w:p>
                  <w:pPr>
                    <w:pStyle w:val="113"/>
                    <w:spacing w:line="240" w:lineRule="auto"/>
                    <w:rPr>
                      <w:rFonts w:ascii="Times New Roman" w:hAnsi="Times New Roman"/>
                      <w:color w:val="auto"/>
                      <w:szCs w:val="21"/>
                    </w:rPr>
                  </w:pPr>
                  <w:r>
                    <w:rPr>
                      <w:rFonts w:ascii="Times New Roman" w:hAnsi="Times New Roman"/>
                      <w:color w:val="auto"/>
                      <w:szCs w:val="21"/>
                    </w:rPr>
                    <w:t>5</w:t>
                  </w:r>
                </w:p>
              </w:tc>
              <w:tc>
                <w:tcPr>
                  <w:tcW w:w="2081" w:type="pct"/>
                  <w:tcBorders>
                    <w:top w:val="single" w:color="000000" w:sz="4" w:space="0"/>
                    <w:left w:val="single" w:color="000000" w:sz="4" w:space="0"/>
                    <w:bottom w:val="single" w:color="000000" w:sz="4" w:space="0"/>
                    <w:right w:val="single" w:color="000000" w:sz="4" w:space="0"/>
                  </w:tcBorders>
                  <w:noWrap/>
                  <w:vAlign w:val="center"/>
                </w:tcPr>
                <w:p>
                  <w:pPr>
                    <w:pStyle w:val="113"/>
                    <w:spacing w:line="240" w:lineRule="auto"/>
                    <w:rPr>
                      <w:rFonts w:ascii="Times New Roman" w:hAnsi="Times New Roman"/>
                      <w:color w:val="auto"/>
                      <w:szCs w:val="21"/>
                    </w:rPr>
                  </w:pPr>
                  <w:r>
                    <w:rPr>
                      <w:rFonts w:ascii="Times New Roman" w:hAnsi="Times New Roman"/>
                      <w:color w:val="auto"/>
                      <w:szCs w:val="21"/>
                    </w:rPr>
                    <w:t>3026822.947</w:t>
                  </w:r>
                </w:p>
              </w:tc>
              <w:tc>
                <w:tcPr>
                  <w:tcW w:w="1915" w:type="pct"/>
                  <w:tcBorders>
                    <w:top w:val="single" w:color="000000" w:sz="4" w:space="0"/>
                    <w:left w:val="single" w:color="000000" w:sz="4" w:space="0"/>
                    <w:bottom w:val="single" w:color="000000" w:sz="4" w:space="0"/>
                    <w:right w:val="single" w:color="000000" w:sz="4" w:space="0"/>
                  </w:tcBorders>
                  <w:noWrap/>
                  <w:vAlign w:val="center"/>
                </w:tcPr>
                <w:p>
                  <w:pPr>
                    <w:pStyle w:val="113"/>
                    <w:spacing w:line="240" w:lineRule="auto"/>
                    <w:rPr>
                      <w:rFonts w:ascii="Times New Roman" w:hAnsi="Times New Roman"/>
                      <w:color w:val="auto"/>
                      <w:szCs w:val="21"/>
                    </w:rPr>
                  </w:pPr>
                  <w:r>
                    <w:rPr>
                      <w:rFonts w:ascii="Times New Roman" w:hAnsi="Times New Roman"/>
                      <w:color w:val="auto"/>
                      <w:szCs w:val="21"/>
                    </w:rPr>
                    <w:t>508445.613</w:t>
                  </w:r>
                </w:p>
              </w:tc>
            </w:tr>
            <w:tr>
              <w:tblPrEx>
                <w:tblCellMar>
                  <w:top w:w="0" w:type="dxa"/>
                  <w:left w:w="108" w:type="dxa"/>
                  <w:bottom w:w="0" w:type="dxa"/>
                  <w:right w:w="108" w:type="dxa"/>
                </w:tblCellMar>
              </w:tblPrEx>
              <w:trPr>
                <w:trHeight w:val="20" w:hRule="atLeast"/>
                <w:jc w:val="center"/>
              </w:trPr>
              <w:tc>
                <w:tcPr>
                  <w:tcW w:w="1003" w:type="pct"/>
                  <w:tcBorders>
                    <w:top w:val="single" w:color="000000" w:sz="4" w:space="0"/>
                    <w:left w:val="single" w:color="000000" w:sz="4" w:space="0"/>
                    <w:bottom w:val="single" w:color="000000" w:sz="4" w:space="0"/>
                    <w:right w:val="single" w:color="000000" w:sz="4" w:space="0"/>
                  </w:tcBorders>
                  <w:noWrap/>
                  <w:vAlign w:val="center"/>
                </w:tcPr>
                <w:p>
                  <w:pPr>
                    <w:pStyle w:val="113"/>
                    <w:spacing w:line="240" w:lineRule="auto"/>
                    <w:rPr>
                      <w:rFonts w:ascii="Times New Roman" w:hAnsi="Times New Roman"/>
                      <w:color w:val="auto"/>
                      <w:szCs w:val="21"/>
                    </w:rPr>
                  </w:pPr>
                  <w:r>
                    <w:rPr>
                      <w:rFonts w:ascii="Times New Roman" w:hAnsi="Times New Roman"/>
                      <w:color w:val="auto"/>
                      <w:szCs w:val="21"/>
                    </w:rPr>
                    <w:t>6</w:t>
                  </w:r>
                </w:p>
              </w:tc>
              <w:tc>
                <w:tcPr>
                  <w:tcW w:w="2081" w:type="pct"/>
                  <w:tcBorders>
                    <w:top w:val="single" w:color="000000" w:sz="4" w:space="0"/>
                    <w:left w:val="single" w:color="000000" w:sz="4" w:space="0"/>
                    <w:bottom w:val="single" w:color="000000" w:sz="4" w:space="0"/>
                    <w:right w:val="single" w:color="000000" w:sz="4" w:space="0"/>
                  </w:tcBorders>
                  <w:noWrap/>
                  <w:vAlign w:val="center"/>
                </w:tcPr>
                <w:p>
                  <w:pPr>
                    <w:pStyle w:val="113"/>
                    <w:spacing w:line="240" w:lineRule="auto"/>
                    <w:rPr>
                      <w:rFonts w:ascii="Times New Roman" w:hAnsi="Times New Roman"/>
                      <w:color w:val="auto"/>
                      <w:szCs w:val="21"/>
                    </w:rPr>
                  </w:pPr>
                  <w:r>
                    <w:rPr>
                      <w:rFonts w:ascii="Times New Roman" w:hAnsi="Times New Roman"/>
                      <w:color w:val="auto"/>
                      <w:szCs w:val="21"/>
                    </w:rPr>
                    <w:t>3026826.635</w:t>
                  </w:r>
                </w:p>
              </w:tc>
              <w:tc>
                <w:tcPr>
                  <w:tcW w:w="1915" w:type="pct"/>
                  <w:tcBorders>
                    <w:top w:val="single" w:color="000000" w:sz="4" w:space="0"/>
                    <w:left w:val="single" w:color="000000" w:sz="4" w:space="0"/>
                    <w:bottom w:val="single" w:color="000000" w:sz="4" w:space="0"/>
                    <w:right w:val="single" w:color="000000" w:sz="4" w:space="0"/>
                  </w:tcBorders>
                  <w:noWrap/>
                  <w:vAlign w:val="center"/>
                </w:tcPr>
                <w:p>
                  <w:pPr>
                    <w:pStyle w:val="113"/>
                    <w:spacing w:line="240" w:lineRule="auto"/>
                    <w:rPr>
                      <w:rFonts w:ascii="Times New Roman" w:hAnsi="Times New Roman"/>
                      <w:color w:val="auto"/>
                      <w:szCs w:val="21"/>
                    </w:rPr>
                  </w:pPr>
                  <w:r>
                    <w:rPr>
                      <w:rFonts w:ascii="Times New Roman" w:hAnsi="Times New Roman"/>
                      <w:color w:val="auto"/>
                      <w:szCs w:val="21"/>
                    </w:rPr>
                    <w:t>508429.082</w:t>
                  </w:r>
                </w:p>
              </w:tc>
            </w:tr>
            <w:tr>
              <w:tblPrEx>
                <w:tblCellMar>
                  <w:top w:w="0" w:type="dxa"/>
                  <w:left w:w="108" w:type="dxa"/>
                  <w:bottom w:w="0" w:type="dxa"/>
                  <w:right w:w="108" w:type="dxa"/>
                </w:tblCellMar>
              </w:tblPrEx>
              <w:trPr>
                <w:trHeight w:val="20" w:hRule="atLeast"/>
                <w:jc w:val="center"/>
              </w:trPr>
              <w:tc>
                <w:tcPr>
                  <w:tcW w:w="5000" w:type="pct"/>
                  <w:gridSpan w:val="3"/>
                  <w:tcBorders>
                    <w:top w:val="single" w:color="000000" w:sz="4" w:space="0"/>
                    <w:left w:val="single" w:color="000000" w:sz="4" w:space="0"/>
                    <w:bottom w:val="single" w:color="000000" w:sz="4" w:space="0"/>
                    <w:right w:val="single" w:color="000000" w:sz="4" w:space="0"/>
                  </w:tcBorders>
                  <w:noWrap/>
                  <w:vAlign w:val="center"/>
                </w:tcPr>
                <w:p>
                  <w:pPr>
                    <w:pStyle w:val="113"/>
                    <w:spacing w:line="240" w:lineRule="auto"/>
                    <w:rPr>
                      <w:rFonts w:ascii="Times New Roman" w:hAnsi="Times New Roman"/>
                      <w:color w:val="auto"/>
                      <w:szCs w:val="21"/>
                    </w:rPr>
                  </w:pPr>
                  <w:r>
                    <w:rPr>
                      <w:rFonts w:ascii="Times New Roman" w:hAnsi="Times New Roman"/>
                      <w:color w:val="auto"/>
                      <w:szCs w:val="21"/>
                    </w:rPr>
                    <w:t>S=836.1㎡，合计1.2541亩</w:t>
                  </w:r>
                </w:p>
              </w:tc>
            </w:tr>
          </w:tbl>
          <w:p>
            <w:pPr>
              <w:spacing w:line="360" w:lineRule="auto"/>
              <w:rPr>
                <w:rFonts w:ascii="黑体" w:hAnsi="黑体" w:eastAsia="黑体"/>
                <w:b/>
                <w:bCs/>
                <w:kern w:val="0"/>
                <w:sz w:val="24"/>
              </w:rPr>
            </w:pPr>
            <w:r>
              <w:rPr>
                <w:rFonts w:hint="eastAsia" w:ascii="黑体" w:hAnsi="黑体" w:eastAsia="黑体"/>
                <w:b/>
                <w:bCs/>
                <w:kern w:val="0"/>
                <w:sz w:val="24"/>
              </w:rPr>
              <w:t>（二）工程建设内容及规模</w:t>
            </w:r>
          </w:p>
          <w:p>
            <w:pPr>
              <w:adjustRightInd w:val="0"/>
              <w:snapToGrid w:val="0"/>
              <w:spacing w:line="360" w:lineRule="auto"/>
              <w:ind w:firstLine="480" w:firstLineChars="200"/>
              <w:rPr>
                <w:sz w:val="24"/>
              </w:rPr>
            </w:pPr>
            <w:bookmarkStart w:id="21" w:name="_Hlk141256483"/>
            <w:bookmarkStart w:id="22" w:name="_Hlk140569944"/>
            <w:r>
              <w:rPr>
                <w:rFonts w:hint="eastAsia"/>
                <w:sz w:val="24"/>
              </w:rPr>
              <w:t>本项目占地面积约8</w:t>
            </w:r>
            <w:r>
              <w:rPr>
                <w:sz w:val="24"/>
              </w:rPr>
              <w:t>36.1</w:t>
            </w:r>
            <w:r>
              <w:rPr>
                <w:rFonts w:hint="eastAsia"/>
                <w:sz w:val="24"/>
              </w:rPr>
              <w:t>㎡，主要建设内容为堆料场区、运输道路区、工业生产区、办公生活区、进场道路区。项目主要建设内容及规模组成如下：</w:t>
            </w:r>
          </w:p>
          <w:p>
            <w:pPr>
              <w:adjustRightInd w:val="0"/>
              <w:snapToGrid w:val="0"/>
              <w:jc w:val="center"/>
              <w:rPr>
                <w:b/>
                <w:sz w:val="24"/>
              </w:rPr>
            </w:pPr>
            <w:r>
              <w:rPr>
                <w:rFonts w:hint="eastAsia"/>
                <w:b/>
                <w:sz w:val="24"/>
              </w:rPr>
              <w:t>表2</w:t>
            </w:r>
            <w:r>
              <w:rPr>
                <w:b/>
                <w:sz w:val="24"/>
              </w:rPr>
              <w:t xml:space="preserve">.2-1  </w:t>
            </w:r>
            <w:r>
              <w:rPr>
                <w:rFonts w:hint="eastAsia"/>
                <w:b/>
                <w:sz w:val="24"/>
              </w:rPr>
              <w:t>项目主要建设内容及规模组成一览表</w:t>
            </w:r>
          </w:p>
          <w:tbl>
            <w:tblPr>
              <w:tblStyle w:val="3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3"/>
              <w:gridCol w:w="674"/>
              <w:gridCol w:w="917"/>
              <w:gridCol w:w="5158"/>
              <w:gridCol w:w="7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705" w:type="dxa"/>
                  <w:vAlign w:val="center"/>
                </w:tcPr>
                <w:p>
                  <w:pPr>
                    <w:adjustRightInd w:val="0"/>
                    <w:snapToGrid w:val="0"/>
                    <w:jc w:val="center"/>
                    <w:rPr>
                      <w:b/>
                      <w:bCs/>
                      <w:color w:val="0000FF"/>
                      <w:szCs w:val="21"/>
                    </w:rPr>
                  </w:pPr>
                  <w:bookmarkStart w:id="23" w:name="_Hlk143180242"/>
                  <w:r>
                    <w:rPr>
                      <w:b/>
                      <w:bCs/>
                      <w:color w:val="0000FF"/>
                      <w:szCs w:val="21"/>
                    </w:rPr>
                    <w:t>工程分类</w:t>
                  </w:r>
                </w:p>
              </w:tc>
              <w:tc>
                <w:tcPr>
                  <w:tcW w:w="1595" w:type="dxa"/>
                  <w:gridSpan w:val="2"/>
                  <w:vAlign w:val="center"/>
                </w:tcPr>
                <w:p>
                  <w:pPr>
                    <w:adjustRightInd w:val="0"/>
                    <w:snapToGrid w:val="0"/>
                    <w:jc w:val="center"/>
                    <w:rPr>
                      <w:b/>
                      <w:bCs/>
                      <w:color w:val="0000FF"/>
                      <w:szCs w:val="21"/>
                    </w:rPr>
                  </w:pPr>
                  <w:r>
                    <w:rPr>
                      <w:b/>
                      <w:bCs/>
                      <w:color w:val="0000FF"/>
                      <w:szCs w:val="21"/>
                    </w:rPr>
                    <w:t>工程名称</w:t>
                  </w:r>
                </w:p>
              </w:tc>
              <w:tc>
                <w:tcPr>
                  <w:tcW w:w="5169" w:type="dxa"/>
                  <w:vAlign w:val="center"/>
                </w:tcPr>
                <w:p>
                  <w:pPr>
                    <w:adjustRightInd w:val="0"/>
                    <w:snapToGrid w:val="0"/>
                    <w:jc w:val="center"/>
                    <w:rPr>
                      <w:b/>
                      <w:bCs/>
                      <w:color w:val="0000FF"/>
                      <w:szCs w:val="21"/>
                    </w:rPr>
                  </w:pPr>
                  <w:r>
                    <w:rPr>
                      <w:rFonts w:hint="eastAsia"/>
                      <w:b/>
                      <w:bCs/>
                      <w:color w:val="0000FF"/>
                      <w:szCs w:val="21"/>
                    </w:rPr>
                    <w:t>主要建设内容及规模</w:t>
                  </w:r>
                </w:p>
              </w:tc>
              <w:tc>
                <w:tcPr>
                  <w:tcW w:w="714" w:type="dxa"/>
                  <w:vAlign w:val="center"/>
                </w:tcPr>
                <w:p>
                  <w:pPr>
                    <w:adjustRightInd w:val="0"/>
                    <w:snapToGrid w:val="0"/>
                    <w:jc w:val="center"/>
                    <w:rPr>
                      <w:b/>
                      <w:bCs/>
                      <w:color w:val="0000FF"/>
                      <w:szCs w:val="21"/>
                    </w:rPr>
                  </w:pPr>
                  <w:r>
                    <w:rPr>
                      <w:b/>
                      <w:bCs/>
                      <w:color w:val="0000FF"/>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705" w:type="dxa"/>
                  <w:vAlign w:val="center"/>
                </w:tcPr>
                <w:p>
                  <w:pPr>
                    <w:adjustRightInd w:val="0"/>
                    <w:snapToGrid w:val="0"/>
                    <w:jc w:val="center"/>
                    <w:rPr>
                      <w:color w:val="0000FF"/>
                      <w:szCs w:val="21"/>
                    </w:rPr>
                  </w:pPr>
                  <w:r>
                    <w:rPr>
                      <w:color w:val="0000FF"/>
                      <w:szCs w:val="21"/>
                    </w:rPr>
                    <w:t>主体工程</w:t>
                  </w:r>
                </w:p>
              </w:tc>
              <w:tc>
                <w:tcPr>
                  <w:tcW w:w="1595" w:type="dxa"/>
                  <w:gridSpan w:val="2"/>
                  <w:vAlign w:val="center"/>
                </w:tcPr>
                <w:p>
                  <w:pPr>
                    <w:adjustRightInd w:val="0"/>
                    <w:snapToGrid w:val="0"/>
                    <w:jc w:val="center"/>
                    <w:rPr>
                      <w:color w:val="0000FF"/>
                      <w:szCs w:val="21"/>
                    </w:rPr>
                  </w:pPr>
                  <w:r>
                    <w:rPr>
                      <w:rFonts w:hint="eastAsia"/>
                      <w:color w:val="0000FF"/>
                      <w:szCs w:val="21"/>
                    </w:rPr>
                    <w:t>工业生产区</w:t>
                  </w:r>
                </w:p>
              </w:tc>
              <w:tc>
                <w:tcPr>
                  <w:tcW w:w="5169" w:type="dxa"/>
                  <w:vAlign w:val="center"/>
                </w:tcPr>
                <w:p>
                  <w:pPr>
                    <w:adjustRightInd w:val="0"/>
                    <w:snapToGrid w:val="0"/>
                    <w:rPr>
                      <w:color w:val="0000FF"/>
                      <w:szCs w:val="21"/>
                    </w:rPr>
                  </w:pPr>
                  <w:r>
                    <w:rPr>
                      <w:rFonts w:hint="eastAsia"/>
                      <w:color w:val="0000FF"/>
                      <w:szCs w:val="21"/>
                    </w:rPr>
                    <w:t>工业生产区建于江西公路旁，规划占地面积为</w:t>
                  </w:r>
                  <w:r>
                    <w:rPr>
                      <w:color w:val="0000FF"/>
                      <w:szCs w:val="21"/>
                    </w:rPr>
                    <w:t>370</w:t>
                  </w:r>
                  <w:r>
                    <w:rPr>
                      <w:rFonts w:hint="eastAsia"/>
                      <w:color w:val="0000FF"/>
                      <w:szCs w:val="21"/>
                    </w:rPr>
                    <w:t>㎡，地面采用碎石铺垫，工业生产区配置水洗砂生产线1条，安装破碎机、振动筛、制砂机、洗砂机、传送带等生产设备。</w:t>
                  </w:r>
                </w:p>
              </w:tc>
              <w:tc>
                <w:tcPr>
                  <w:tcW w:w="714" w:type="dxa"/>
                  <w:vAlign w:val="center"/>
                </w:tcPr>
                <w:p>
                  <w:pPr>
                    <w:adjustRightInd w:val="0"/>
                    <w:snapToGrid w:val="0"/>
                    <w:jc w:val="center"/>
                    <w:rPr>
                      <w:color w:val="0000FF"/>
                      <w:szCs w:val="21"/>
                    </w:rPr>
                  </w:pPr>
                  <w:r>
                    <w:rPr>
                      <w:rFonts w:hint="eastAsia"/>
                      <w:color w:val="0000FF"/>
                      <w:szCs w:val="21"/>
                    </w:rPr>
                    <w:t>已建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705" w:type="dxa"/>
                  <w:vMerge w:val="restart"/>
                  <w:vAlign w:val="center"/>
                </w:tcPr>
                <w:p>
                  <w:pPr>
                    <w:adjustRightInd w:val="0"/>
                    <w:snapToGrid w:val="0"/>
                    <w:jc w:val="center"/>
                    <w:rPr>
                      <w:color w:val="0000FF"/>
                      <w:szCs w:val="21"/>
                    </w:rPr>
                  </w:pPr>
                  <w:r>
                    <w:rPr>
                      <w:color w:val="0000FF"/>
                      <w:szCs w:val="21"/>
                    </w:rPr>
                    <w:t>储运工程</w:t>
                  </w:r>
                </w:p>
              </w:tc>
              <w:tc>
                <w:tcPr>
                  <w:tcW w:w="1595" w:type="dxa"/>
                  <w:gridSpan w:val="2"/>
                  <w:vAlign w:val="center"/>
                </w:tcPr>
                <w:p>
                  <w:pPr>
                    <w:adjustRightInd w:val="0"/>
                    <w:snapToGrid w:val="0"/>
                    <w:jc w:val="center"/>
                    <w:rPr>
                      <w:color w:val="0000FF"/>
                      <w:szCs w:val="21"/>
                    </w:rPr>
                  </w:pPr>
                  <w:r>
                    <w:rPr>
                      <w:rFonts w:hint="eastAsia"/>
                      <w:color w:val="0000FF"/>
                      <w:szCs w:val="21"/>
                    </w:rPr>
                    <w:t>成品堆</w:t>
                  </w:r>
                  <w:r>
                    <w:rPr>
                      <w:color w:val="0000FF"/>
                      <w:szCs w:val="21"/>
                    </w:rPr>
                    <w:t>棚</w:t>
                  </w:r>
                </w:p>
              </w:tc>
              <w:tc>
                <w:tcPr>
                  <w:tcW w:w="5169" w:type="dxa"/>
                  <w:vAlign w:val="center"/>
                </w:tcPr>
                <w:p>
                  <w:pPr>
                    <w:adjustRightInd w:val="0"/>
                    <w:snapToGrid w:val="0"/>
                    <w:rPr>
                      <w:color w:val="0000FF"/>
                      <w:szCs w:val="21"/>
                    </w:rPr>
                  </w:pPr>
                  <w:r>
                    <w:rPr>
                      <w:rFonts w:hint="eastAsia"/>
                      <w:color w:val="0000FF"/>
                      <w:szCs w:val="21"/>
                    </w:rPr>
                    <w:t>项目已建</w:t>
                  </w:r>
                  <w:r>
                    <w:rPr>
                      <w:color w:val="0000FF"/>
                      <w:szCs w:val="21"/>
                    </w:rPr>
                    <w:t>200</w:t>
                  </w:r>
                  <w:r>
                    <w:rPr>
                      <w:rFonts w:hint="eastAsia"/>
                      <w:color w:val="0000FF"/>
                      <w:szCs w:val="21"/>
                    </w:rPr>
                    <w:t>m²成品堆场1座，建于工业生产区东侧紧临。环评要求成品堆场设置为三面封闭围挡加顶，一面敞口单层钢结构。</w:t>
                  </w:r>
                </w:p>
              </w:tc>
              <w:tc>
                <w:tcPr>
                  <w:tcW w:w="714" w:type="dxa"/>
                  <w:vAlign w:val="center"/>
                </w:tcPr>
                <w:p>
                  <w:pPr>
                    <w:adjustRightInd w:val="0"/>
                    <w:snapToGrid w:val="0"/>
                    <w:jc w:val="center"/>
                    <w:rPr>
                      <w:color w:val="0000FF"/>
                      <w:szCs w:val="21"/>
                    </w:rPr>
                  </w:pPr>
                  <w:r>
                    <w:rPr>
                      <w:rFonts w:hint="eastAsia"/>
                      <w:color w:val="0000FF"/>
                      <w:szCs w:val="21"/>
                    </w:rPr>
                    <w:t>整改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705" w:type="dxa"/>
                  <w:vMerge w:val="continue"/>
                  <w:vAlign w:val="center"/>
                </w:tcPr>
                <w:p>
                  <w:pPr>
                    <w:adjustRightInd w:val="0"/>
                    <w:snapToGrid w:val="0"/>
                    <w:jc w:val="center"/>
                    <w:rPr>
                      <w:color w:val="0000FF"/>
                      <w:szCs w:val="21"/>
                    </w:rPr>
                  </w:pPr>
                </w:p>
              </w:tc>
              <w:tc>
                <w:tcPr>
                  <w:tcW w:w="1595" w:type="dxa"/>
                  <w:gridSpan w:val="2"/>
                  <w:vAlign w:val="center"/>
                </w:tcPr>
                <w:p>
                  <w:pPr>
                    <w:adjustRightInd w:val="0"/>
                    <w:snapToGrid w:val="0"/>
                    <w:jc w:val="center"/>
                    <w:rPr>
                      <w:color w:val="0000FF"/>
                      <w:szCs w:val="21"/>
                    </w:rPr>
                  </w:pPr>
                  <w:r>
                    <w:rPr>
                      <w:rFonts w:hint="eastAsia"/>
                      <w:color w:val="0000FF"/>
                      <w:szCs w:val="21"/>
                    </w:rPr>
                    <w:t>原料堆棚</w:t>
                  </w:r>
                </w:p>
              </w:tc>
              <w:tc>
                <w:tcPr>
                  <w:tcW w:w="5169" w:type="dxa"/>
                  <w:vAlign w:val="center"/>
                </w:tcPr>
                <w:p>
                  <w:pPr>
                    <w:adjustRightInd w:val="0"/>
                    <w:snapToGrid w:val="0"/>
                    <w:rPr>
                      <w:color w:val="0000FF"/>
                      <w:szCs w:val="21"/>
                    </w:rPr>
                  </w:pPr>
                  <w:r>
                    <w:rPr>
                      <w:rFonts w:hint="eastAsia"/>
                      <w:color w:val="0000FF"/>
                      <w:szCs w:val="21"/>
                    </w:rPr>
                    <w:t>项目已建</w:t>
                  </w:r>
                  <w:r>
                    <w:rPr>
                      <w:color w:val="0000FF"/>
                      <w:szCs w:val="21"/>
                    </w:rPr>
                    <w:t>100</w:t>
                  </w:r>
                  <w:r>
                    <w:rPr>
                      <w:rFonts w:hint="eastAsia"/>
                      <w:color w:val="0000FF"/>
                      <w:szCs w:val="21"/>
                    </w:rPr>
                    <w:t>m²原料堆场1座，建于工业生产区西侧紧临。环评要求原料堆场设置为三面封闭围挡加顶，一面敞口单层钢结构成。</w:t>
                  </w:r>
                </w:p>
              </w:tc>
              <w:tc>
                <w:tcPr>
                  <w:tcW w:w="714" w:type="dxa"/>
                  <w:vAlign w:val="center"/>
                </w:tcPr>
                <w:p>
                  <w:pPr>
                    <w:adjustRightInd w:val="0"/>
                    <w:snapToGrid w:val="0"/>
                    <w:jc w:val="center"/>
                    <w:rPr>
                      <w:color w:val="0000FF"/>
                      <w:szCs w:val="21"/>
                    </w:rPr>
                  </w:pPr>
                  <w:r>
                    <w:rPr>
                      <w:rFonts w:hint="eastAsia"/>
                      <w:color w:val="0000FF"/>
                      <w:szCs w:val="21"/>
                    </w:rPr>
                    <w:t>整改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705" w:type="dxa"/>
                  <w:vAlign w:val="center"/>
                </w:tcPr>
                <w:p>
                  <w:pPr>
                    <w:adjustRightInd w:val="0"/>
                    <w:snapToGrid w:val="0"/>
                    <w:jc w:val="center"/>
                    <w:rPr>
                      <w:color w:val="0000FF"/>
                      <w:szCs w:val="21"/>
                    </w:rPr>
                  </w:pPr>
                  <w:r>
                    <w:rPr>
                      <w:rFonts w:hint="eastAsia"/>
                      <w:color w:val="0000FF"/>
                      <w:szCs w:val="21"/>
                    </w:rPr>
                    <w:t>辅助工程</w:t>
                  </w:r>
                </w:p>
              </w:tc>
              <w:tc>
                <w:tcPr>
                  <w:tcW w:w="1595" w:type="dxa"/>
                  <w:gridSpan w:val="2"/>
                  <w:tcBorders>
                    <w:bottom w:val="single" w:color="auto" w:sz="4" w:space="0"/>
                  </w:tcBorders>
                  <w:vAlign w:val="center"/>
                </w:tcPr>
                <w:p>
                  <w:pPr>
                    <w:adjustRightInd w:val="0"/>
                    <w:snapToGrid w:val="0"/>
                    <w:jc w:val="center"/>
                    <w:rPr>
                      <w:color w:val="0000FF"/>
                      <w:szCs w:val="21"/>
                    </w:rPr>
                  </w:pPr>
                  <w:r>
                    <w:rPr>
                      <w:rFonts w:hint="eastAsia"/>
                      <w:color w:val="0000FF"/>
                      <w:szCs w:val="21"/>
                    </w:rPr>
                    <w:t>生活区</w:t>
                  </w:r>
                </w:p>
              </w:tc>
              <w:tc>
                <w:tcPr>
                  <w:tcW w:w="5169" w:type="dxa"/>
                  <w:vAlign w:val="center"/>
                </w:tcPr>
                <w:p>
                  <w:pPr>
                    <w:adjustRightInd w:val="0"/>
                    <w:snapToGrid w:val="0"/>
                    <w:rPr>
                      <w:color w:val="0000FF"/>
                      <w:szCs w:val="21"/>
                    </w:rPr>
                  </w:pPr>
                  <w:r>
                    <w:rPr>
                      <w:rFonts w:hint="eastAsia"/>
                      <w:color w:val="0000FF"/>
                      <w:szCs w:val="21"/>
                    </w:rPr>
                    <w:t>工业生产区北侧设置生活区，占地面积约</w:t>
                  </w:r>
                  <w:r>
                    <w:rPr>
                      <w:color w:val="0000FF"/>
                      <w:szCs w:val="21"/>
                    </w:rPr>
                    <w:t>100</w:t>
                  </w:r>
                  <w:r>
                    <w:rPr>
                      <w:rFonts w:hint="eastAsia"/>
                      <w:color w:val="0000FF"/>
                      <w:szCs w:val="21"/>
                    </w:rPr>
                    <w:t>㎡。生活区设置</w:t>
                  </w:r>
                  <w:r>
                    <w:rPr>
                      <w:color w:val="0000FF"/>
                      <w:szCs w:val="21"/>
                    </w:rPr>
                    <w:t>20</w:t>
                  </w:r>
                  <w:r>
                    <w:rPr>
                      <w:rFonts w:hint="eastAsia"/>
                      <w:color w:val="0000FF"/>
                      <w:szCs w:val="21"/>
                    </w:rPr>
                    <w:t>㎡单层钢结构职工食堂1座，设置</w:t>
                  </w:r>
                  <w:r>
                    <w:rPr>
                      <w:color w:val="0000FF"/>
                      <w:szCs w:val="21"/>
                    </w:rPr>
                    <w:t>50</w:t>
                  </w:r>
                  <w:r>
                    <w:rPr>
                      <w:rFonts w:hint="eastAsia"/>
                      <w:color w:val="0000FF"/>
                      <w:szCs w:val="21"/>
                    </w:rPr>
                    <w:t>㎡单层钢结构办公用房1座，内部设置办公区和值守人员住宿区。</w:t>
                  </w:r>
                </w:p>
              </w:tc>
              <w:tc>
                <w:tcPr>
                  <w:tcW w:w="714" w:type="dxa"/>
                  <w:vAlign w:val="center"/>
                </w:tcPr>
                <w:p>
                  <w:pPr>
                    <w:adjustRightInd w:val="0"/>
                    <w:snapToGrid w:val="0"/>
                    <w:jc w:val="center"/>
                    <w:rPr>
                      <w:color w:val="0000FF"/>
                      <w:szCs w:val="21"/>
                    </w:rPr>
                  </w:pPr>
                  <w:r>
                    <w:rPr>
                      <w:rFonts w:hint="eastAsia"/>
                      <w:color w:val="0000FF"/>
                      <w:szCs w:val="21"/>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705" w:type="dxa"/>
                  <w:vMerge w:val="restart"/>
                  <w:vAlign w:val="center"/>
                </w:tcPr>
                <w:p>
                  <w:pPr>
                    <w:adjustRightInd w:val="0"/>
                    <w:snapToGrid w:val="0"/>
                    <w:jc w:val="center"/>
                    <w:rPr>
                      <w:color w:val="0000FF"/>
                      <w:szCs w:val="21"/>
                    </w:rPr>
                  </w:pPr>
                  <w:r>
                    <w:rPr>
                      <w:color w:val="0000FF"/>
                      <w:szCs w:val="21"/>
                    </w:rPr>
                    <w:t>公用工程</w:t>
                  </w:r>
                </w:p>
              </w:tc>
              <w:tc>
                <w:tcPr>
                  <w:tcW w:w="1595" w:type="dxa"/>
                  <w:gridSpan w:val="2"/>
                  <w:vAlign w:val="center"/>
                </w:tcPr>
                <w:p>
                  <w:pPr>
                    <w:adjustRightInd w:val="0"/>
                    <w:snapToGrid w:val="0"/>
                    <w:jc w:val="center"/>
                    <w:rPr>
                      <w:color w:val="0000FF"/>
                      <w:szCs w:val="21"/>
                    </w:rPr>
                  </w:pPr>
                  <w:r>
                    <w:rPr>
                      <w:color w:val="0000FF"/>
                      <w:szCs w:val="21"/>
                    </w:rPr>
                    <w:t>供水系统</w:t>
                  </w:r>
                </w:p>
              </w:tc>
              <w:tc>
                <w:tcPr>
                  <w:tcW w:w="5169" w:type="dxa"/>
                  <w:vAlign w:val="center"/>
                </w:tcPr>
                <w:p>
                  <w:pPr>
                    <w:adjustRightInd w:val="0"/>
                    <w:snapToGrid w:val="0"/>
                    <w:rPr>
                      <w:color w:val="0000FF"/>
                      <w:szCs w:val="21"/>
                    </w:rPr>
                  </w:pPr>
                  <w:r>
                    <w:rPr>
                      <w:rFonts w:hint="eastAsia"/>
                      <w:color w:val="0000FF"/>
                      <w:szCs w:val="21"/>
                    </w:rPr>
                    <w:t>项目运营期生产生活用水由附近山泉水引入。</w:t>
                  </w:r>
                </w:p>
              </w:tc>
              <w:tc>
                <w:tcPr>
                  <w:tcW w:w="714" w:type="dxa"/>
                  <w:vAlign w:val="center"/>
                </w:tcPr>
                <w:p>
                  <w:pPr>
                    <w:adjustRightInd w:val="0"/>
                    <w:snapToGrid w:val="0"/>
                    <w:jc w:val="center"/>
                    <w:rPr>
                      <w:color w:val="0000FF"/>
                      <w:szCs w:val="21"/>
                    </w:rPr>
                  </w:pPr>
                  <w:r>
                    <w:rPr>
                      <w:rFonts w:hint="eastAsia"/>
                      <w:color w:val="0000FF"/>
                      <w:szCs w:val="21"/>
                    </w:rPr>
                    <w:t>已建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705" w:type="dxa"/>
                  <w:vMerge w:val="continue"/>
                  <w:vAlign w:val="center"/>
                </w:tcPr>
                <w:p>
                  <w:pPr>
                    <w:adjustRightInd w:val="0"/>
                    <w:snapToGrid w:val="0"/>
                    <w:jc w:val="center"/>
                    <w:rPr>
                      <w:color w:val="0000FF"/>
                      <w:szCs w:val="21"/>
                    </w:rPr>
                  </w:pPr>
                </w:p>
              </w:tc>
              <w:tc>
                <w:tcPr>
                  <w:tcW w:w="1595" w:type="dxa"/>
                  <w:gridSpan w:val="2"/>
                  <w:vAlign w:val="center"/>
                </w:tcPr>
                <w:p>
                  <w:pPr>
                    <w:adjustRightInd w:val="0"/>
                    <w:snapToGrid w:val="0"/>
                    <w:jc w:val="center"/>
                    <w:rPr>
                      <w:color w:val="0000FF"/>
                      <w:szCs w:val="21"/>
                    </w:rPr>
                  </w:pPr>
                  <w:r>
                    <w:rPr>
                      <w:rFonts w:hint="eastAsia"/>
                      <w:color w:val="0000FF"/>
                      <w:szCs w:val="21"/>
                    </w:rPr>
                    <w:t>供电系统</w:t>
                  </w:r>
                </w:p>
              </w:tc>
              <w:tc>
                <w:tcPr>
                  <w:tcW w:w="5169" w:type="dxa"/>
                  <w:vAlign w:val="center"/>
                </w:tcPr>
                <w:p>
                  <w:pPr>
                    <w:adjustRightInd w:val="0"/>
                    <w:snapToGrid w:val="0"/>
                    <w:rPr>
                      <w:color w:val="0000FF"/>
                      <w:szCs w:val="21"/>
                    </w:rPr>
                  </w:pPr>
                  <w:r>
                    <w:rPr>
                      <w:rFonts w:hint="eastAsia"/>
                      <w:color w:val="0000FF"/>
                      <w:szCs w:val="21"/>
                    </w:rPr>
                    <w:t>项目运营期生产生活用电由维西县白济汛乡供电电网接入，工业生产区南侧已建5㎡单层砖混结构配电房1座，内置变压器1台。</w:t>
                  </w:r>
                </w:p>
              </w:tc>
              <w:tc>
                <w:tcPr>
                  <w:tcW w:w="714" w:type="dxa"/>
                  <w:vAlign w:val="center"/>
                </w:tcPr>
                <w:p>
                  <w:pPr>
                    <w:adjustRightInd w:val="0"/>
                    <w:snapToGrid w:val="0"/>
                    <w:jc w:val="center"/>
                    <w:rPr>
                      <w:color w:val="0000FF"/>
                      <w:szCs w:val="21"/>
                    </w:rPr>
                  </w:pPr>
                  <w:r>
                    <w:rPr>
                      <w:rFonts w:hint="eastAsia"/>
                      <w:color w:val="0000FF"/>
                      <w:szCs w:val="21"/>
                    </w:rPr>
                    <w:t>已建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705" w:type="dxa"/>
                  <w:vMerge w:val="continue"/>
                  <w:vAlign w:val="center"/>
                </w:tcPr>
                <w:p>
                  <w:pPr>
                    <w:adjustRightInd w:val="0"/>
                    <w:snapToGrid w:val="0"/>
                    <w:jc w:val="center"/>
                    <w:rPr>
                      <w:color w:val="0000FF"/>
                      <w:szCs w:val="21"/>
                    </w:rPr>
                  </w:pPr>
                </w:p>
              </w:tc>
              <w:tc>
                <w:tcPr>
                  <w:tcW w:w="1595" w:type="dxa"/>
                  <w:gridSpan w:val="2"/>
                  <w:vAlign w:val="center"/>
                </w:tcPr>
                <w:p>
                  <w:pPr>
                    <w:adjustRightInd w:val="0"/>
                    <w:snapToGrid w:val="0"/>
                    <w:jc w:val="center"/>
                    <w:rPr>
                      <w:color w:val="0000FF"/>
                      <w:szCs w:val="21"/>
                    </w:rPr>
                  </w:pPr>
                  <w:r>
                    <w:rPr>
                      <w:color w:val="0000FF"/>
                      <w:szCs w:val="21"/>
                    </w:rPr>
                    <w:t>排水系统</w:t>
                  </w:r>
                </w:p>
              </w:tc>
              <w:tc>
                <w:tcPr>
                  <w:tcW w:w="5169" w:type="dxa"/>
                  <w:vAlign w:val="center"/>
                </w:tcPr>
                <w:p>
                  <w:pPr>
                    <w:adjustRightInd w:val="0"/>
                    <w:snapToGrid w:val="0"/>
                    <w:rPr>
                      <w:color w:val="0000FF"/>
                      <w:szCs w:val="21"/>
                    </w:rPr>
                  </w:pPr>
                  <w:r>
                    <w:rPr>
                      <w:rFonts w:hint="eastAsia"/>
                      <w:color w:val="0000FF"/>
                      <w:szCs w:val="21"/>
                    </w:rPr>
                    <w:t>厂区排水采取雨污分流体制。厂区东侧地势较低处设置2</w:t>
                  </w:r>
                  <w:r>
                    <w:rPr>
                      <w:color w:val="0000FF"/>
                      <w:szCs w:val="21"/>
                    </w:rPr>
                    <w:t>0</w:t>
                  </w:r>
                  <w:r>
                    <w:rPr>
                      <w:rFonts w:hint="eastAsia"/>
                      <w:color w:val="0000FF"/>
                      <w:szCs w:val="21"/>
                    </w:rPr>
                    <w:t>m³砖混结构初期雨水收集池1座，项目区修建截排水沟约4</w:t>
                  </w:r>
                  <w:r>
                    <w:rPr>
                      <w:color w:val="0000FF"/>
                      <w:szCs w:val="21"/>
                    </w:rPr>
                    <w:t>45</w:t>
                  </w:r>
                  <w:r>
                    <w:rPr>
                      <w:rFonts w:hint="eastAsia"/>
                      <w:color w:val="0000FF"/>
                      <w:szCs w:val="21"/>
                    </w:rPr>
                    <w:t>m，排水沟设置切换阀，雨天初期雨水排入初期雨水收集池收集沉淀处理后回用于洒水降尘及洗砂工段；成品堆棚南侧设置</w:t>
                  </w:r>
                  <w:r>
                    <w:rPr>
                      <w:color w:val="0000FF"/>
                      <w:szCs w:val="21"/>
                    </w:rPr>
                    <w:t>90</w:t>
                  </w:r>
                  <w:r>
                    <w:rPr>
                      <w:rFonts w:hint="eastAsia"/>
                      <w:color w:val="0000FF"/>
                      <w:szCs w:val="21"/>
                    </w:rPr>
                    <w:t>m³砖混结构三级沉淀池1座，运营期洗废水及洗砂废水收集排入三级沉淀池沉淀处理后回用于洗砂工段；办公生活区设置水冲厕1座，配置2m³地埋式化粪池1座及2m³清水池1座，生活污水经化粪池收集沉淀处理后上清液于清水池内暂存回用于洗砂工段，不外排。</w:t>
                  </w:r>
                </w:p>
              </w:tc>
              <w:tc>
                <w:tcPr>
                  <w:tcW w:w="714" w:type="dxa"/>
                  <w:vAlign w:val="center"/>
                </w:tcPr>
                <w:p>
                  <w:pPr>
                    <w:adjustRightInd w:val="0"/>
                    <w:snapToGrid w:val="0"/>
                    <w:jc w:val="center"/>
                    <w:rPr>
                      <w:color w:val="0000FF"/>
                      <w:szCs w:val="21"/>
                    </w:rPr>
                  </w:pPr>
                  <w:r>
                    <w:rPr>
                      <w:rFonts w:hint="eastAsia"/>
                      <w:color w:val="0000FF"/>
                      <w:szCs w:val="21"/>
                    </w:rPr>
                    <w:t>整改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705" w:type="dxa"/>
                  <w:vMerge w:val="continue"/>
                  <w:vAlign w:val="center"/>
                </w:tcPr>
                <w:p>
                  <w:pPr>
                    <w:adjustRightInd w:val="0"/>
                    <w:snapToGrid w:val="0"/>
                    <w:jc w:val="center"/>
                    <w:rPr>
                      <w:color w:val="0000FF"/>
                      <w:szCs w:val="21"/>
                    </w:rPr>
                  </w:pPr>
                </w:p>
              </w:tc>
              <w:tc>
                <w:tcPr>
                  <w:tcW w:w="1595" w:type="dxa"/>
                  <w:gridSpan w:val="2"/>
                  <w:vAlign w:val="center"/>
                </w:tcPr>
                <w:p>
                  <w:pPr>
                    <w:adjustRightInd w:val="0"/>
                    <w:snapToGrid w:val="0"/>
                    <w:jc w:val="center"/>
                    <w:rPr>
                      <w:color w:val="0000FF"/>
                      <w:szCs w:val="21"/>
                    </w:rPr>
                  </w:pPr>
                  <w:r>
                    <w:rPr>
                      <w:color w:val="0000FF"/>
                      <w:szCs w:val="21"/>
                    </w:rPr>
                    <w:t>运输道路</w:t>
                  </w:r>
                </w:p>
              </w:tc>
              <w:tc>
                <w:tcPr>
                  <w:tcW w:w="5169" w:type="dxa"/>
                  <w:vAlign w:val="center"/>
                </w:tcPr>
                <w:p>
                  <w:pPr>
                    <w:adjustRightInd w:val="0"/>
                    <w:snapToGrid w:val="0"/>
                    <w:rPr>
                      <w:color w:val="0000FF"/>
                      <w:szCs w:val="21"/>
                    </w:rPr>
                  </w:pPr>
                  <w:r>
                    <w:rPr>
                      <w:rFonts w:hint="eastAsia"/>
                      <w:color w:val="0000FF"/>
                      <w:szCs w:val="21"/>
                    </w:rPr>
                    <w:t>项目区外运输道路依托澜沧江西岸原有乡村道路，厂区内运输道路贯穿于整个加工生产项目区，路总长约11</w:t>
                  </w:r>
                  <w:r>
                    <w:rPr>
                      <w:color w:val="0000FF"/>
                      <w:szCs w:val="21"/>
                    </w:rPr>
                    <w:t>0</w:t>
                  </w:r>
                  <w:r>
                    <w:rPr>
                      <w:rFonts w:hint="eastAsia"/>
                      <w:color w:val="0000FF"/>
                      <w:szCs w:val="21"/>
                    </w:rPr>
                    <w:t>m，路基宽约4~5m，为碎石铺垫路面。</w:t>
                  </w:r>
                </w:p>
              </w:tc>
              <w:tc>
                <w:tcPr>
                  <w:tcW w:w="714" w:type="dxa"/>
                  <w:vAlign w:val="center"/>
                </w:tcPr>
                <w:p>
                  <w:pPr>
                    <w:adjustRightInd w:val="0"/>
                    <w:snapToGrid w:val="0"/>
                    <w:jc w:val="center"/>
                    <w:rPr>
                      <w:color w:val="0000FF"/>
                      <w:szCs w:val="21"/>
                    </w:rPr>
                  </w:pPr>
                  <w:r>
                    <w:rPr>
                      <w:rFonts w:hint="eastAsia"/>
                      <w:color w:val="0000FF"/>
                      <w:szCs w:val="21"/>
                    </w:rPr>
                    <w:t>整改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705" w:type="dxa"/>
                  <w:vMerge w:val="restart"/>
                  <w:vAlign w:val="center"/>
                </w:tcPr>
                <w:p>
                  <w:pPr>
                    <w:adjustRightInd w:val="0"/>
                    <w:snapToGrid w:val="0"/>
                    <w:jc w:val="center"/>
                    <w:rPr>
                      <w:color w:val="0000FF"/>
                      <w:szCs w:val="21"/>
                    </w:rPr>
                  </w:pPr>
                  <w:r>
                    <w:rPr>
                      <w:color w:val="0000FF"/>
                      <w:szCs w:val="21"/>
                    </w:rPr>
                    <w:t>环保工程</w:t>
                  </w:r>
                </w:p>
              </w:tc>
              <w:tc>
                <w:tcPr>
                  <w:tcW w:w="676" w:type="dxa"/>
                  <w:vMerge w:val="restart"/>
                  <w:tcBorders>
                    <w:right w:val="single" w:color="auto" w:sz="4" w:space="0"/>
                  </w:tcBorders>
                  <w:vAlign w:val="center"/>
                </w:tcPr>
                <w:p>
                  <w:pPr>
                    <w:adjustRightInd w:val="0"/>
                    <w:snapToGrid w:val="0"/>
                    <w:jc w:val="center"/>
                    <w:rPr>
                      <w:color w:val="0000FF"/>
                      <w:szCs w:val="21"/>
                    </w:rPr>
                  </w:pPr>
                  <w:r>
                    <w:rPr>
                      <w:color w:val="0000FF"/>
                      <w:szCs w:val="21"/>
                    </w:rPr>
                    <w:t>废水</w:t>
                  </w:r>
                  <w:r>
                    <w:rPr>
                      <w:rFonts w:hint="eastAsia"/>
                      <w:color w:val="0000FF"/>
                      <w:szCs w:val="21"/>
                    </w:rPr>
                    <w:t>治理</w:t>
                  </w:r>
                  <w:r>
                    <w:rPr>
                      <w:color w:val="0000FF"/>
                      <w:szCs w:val="21"/>
                    </w:rPr>
                    <w:t>设施</w:t>
                  </w:r>
                </w:p>
              </w:tc>
              <w:tc>
                <w:tcPr>
                  <w:tcW w:w="919" w:type="dxa"/>
                  <w:tcBorders>
                    <w:left w:val="single" w:color="auto" w:sz="4" w:space="0"/>
                  </w:tcBorders>
                  <w:vAlign w:val="center"/>
                </w:tcPr>
                <w:p>
                  <w:pPr>
                    <w:adjustRightInd w:val="0"/>
                    <w:snapToGrid w:val="0"/>
                    <w:jc w:val="center"/>
                    <w:rPr>
                      <w:color w:val="0000FF"/>
                      <w:szCs w:val="21"/>
                    </w:rPr>
                  </w:pPr>
                  <w:r>
                    <w:rPr>
                      <w:rFonts w:hint="eastAsia"/>
                      <w:color w:val="0000FF"/>
                      <w:szCs w:val="21"/>
                    </w:rPr>
                    <w:t>油水分离器</w:t>
                  </w:r>
                </w:p>
              </w:tc>
              <w:tc>
                <w:tcPr>
                  <w:tcW w:w="5169" w:type="dxa"/>
                  <w:vAlign w:val="center"/>
                </w:tcPr>
                <w:p>
                  <w:pPr>
                    <w:adjustRightInd w:val="0"/>
                    <w:snapToGrid w:val="0"/>
                    <w:rPr>
                      <w:color w:val="0000FF"/>
                      <w:szCs w:val="21"/>
                    </w:rPr>
                  </w:pPr>
                  <w:r>
                    <w:rPr>
                      <w:rFonts w:hint="eastAsia"/>
                      <w:color w:val="0000FF"/>
                      <w:szCs w:val="21"/>
                    </w:rPr>
                    <w:t>职工食堂内配置油水分离器1座，处理能力不低于</w:t>
                  </w:r>
                  <w:r>
                    <w:rPr>
                      <w:color w:val="0000FF"/>
                      <w:szCs w:val="21"/>
                    </w:rPr>
                    <w:t>0.05</w:t>
                  </w:r>
                  <w:r>
                    <w:rPr>
                      <w:rFonts w:hint="eastAsia"/>
                      <w:color w:val="0000FF"/>
                      <w:szCs w:val="21"/>
                    </w:rPr>
                    <w:t>m³</w:t>
                  </w:r>
                  <w:r>
                    <w:rPr>
                      <w:color w:val="0000FF"/>
                      <w:szCs w:val="21"/>
                    </w:rPr>
                    <w:t>/</w:t>
                  </w:r>
                  <w:r>
                    <w:rPr>
                      <w:rFonts w:hint="eastAsia"/>
                      <w:color w:val="0000FF"/>
                      <w:szCs w:val="21"/>
                    </w:rPr>
                    <w:t>h。</w:t>
                  </w:r>
                </w:p>
              </w:tc>
              <w:tc>
                <w:tcPr>
                  <w:tcW w:w="714" w:type="dxa"/>
                  <w:vAlign w:val="center"/>
                </w:tcPr>
                <w:p>
                  <w:pPr>
                    <w:adjustRightInd w:val="0"/>
                    <w:snapToGrid w:val="0"/>
                    <w:jc w:val="center"/>
                    <w:rPr>
                      <w:color w:val="0000FF"/>
                      <w:szCs w:val="21"/>
                    </w:rPr>
                  </w:pPr>
                  <w:r>
                    <w:rPr>
                      <w:rFonts w:hint="eastAsia"/>
                      <w:color w:val="0000FF"/>
                      <w:szCs w:val="21"/>
                    </w:rPr>
                    <w:t>整改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705" w:type="dxa"/>
                  <w:vMerge w:val="continue"/>
                  <w:vAlign w:val="center"/>
                </w:tcPr>
                <w:p>
                  <w:pPr>
                    <w:adjustRightInd w:val="0"/>
                    <w:snapToGrid w:val="0"/>
                    <w:jc w:val="center"/>
                    <w:rPr>
                      <w:color w:val="0000FF"/>
                      <w:szCs w:val="21"/>
                    </w:rPr>
                  </w:pPr>
                </w:p>
              </w:tc>
              <w:tc>
                <w:tcPr>
                  <w:tcW w:w="676" w:type="dxa"/>
                  <w:vMerge w:val="continue"/>
                  <w:tcBorders>
                    <w:right w:val="single" w:color="auto" w:sz="4" w:space="0"/>
                  </w:tcBorders>
                  <w:vAlign w:val="center"/>
                </w:tcPr>
                <w:p>
                  <w:pPr>
                    <w:adjustRightInd w:val="0"/>
                    <w:snapToGrid w:val="0"/>
                    <w:jc w:val="center"/>
                    <w:rPr>
                      <w:color w:val="0000FF"/>
                      <w:szCs w:val="21"/>
                    </w:rPr>
                  </w:pPr>
                </w:p>
              </w:tc>
              <w:tc>
                <w:tcPr>
                  <w:tcW w:w="919" w:type="dxa"/>
                  <w:tcBorders>
                    <w:left w:val="single" w:color="auto" w:sz="4" w:space="0"/>
                  </w:tcBorders>
                  <w:vAlign w:val="center"/>
                </w:tcPr>
                <w:p>
                  <w:pPr>
                    <w:adjustRightInd w:val="0"/>
                    <w:snapToGrid w:val="0"/>
                    <w:jc w:val="center"/>
                    <w:rPr>
                      <w:color w:val="0000FF"/>
                      <w:szCs w:val="21"/>
                    </w:rPr>
                  </w:pPr>
                  <w:r>
                    <w:rPr>
                      <w:rFonts w:hint="eastAsia"/>
                      <w:color w:val="0000FF"/>
                      <w:szCs w:val="21"/>
                    </w:rPr>
                    <w:t>化粪池</w:t>
                  </w:r>
                </w:p>
              </w:tc>
              <w:tc>
                <w:tcPr>
                  <w:tcW w:w="5169" w:type="dxa"/>
                  <w:vAlign w:val="center"/>
                </w:tcPr>
                <w:p>
                  <w:pPr>
                    <w:adjustRightInd w:val="0"/>
                    <w:snapToGrid w:val="0"/>
                    <w:rPr>
                      <w:color w:val="0000FF"/>
                      <w:szCs w:val="21"/>
                    </w:rPr>
                  </w:pPr>
                  <w:r>
                    <w:rPr>
                      <w:rFonts w:hint="eastAsia"/>
                      <w:color w:val="0000FF"/>
                      <w:szCs w:val="21"/>
                    </w:rPr>
                    <w:t>项目办公生活区内建设地埋式化粪池1座，设计容积2m³。</w:t>
                  </w:r>
                </w:p>
              </w:tc>
              <w:tc>
                <w:tcPr>
                  <w:tcW w:w="714" w:type="dxa"/>
                  <w:vAlign w:val="center"/>
                </w:tcPr>
                <w:p>
                  <w:pPr>
                    <w:adjustRightInd w:val="0"/>
                    <w:snapToGrid w:val="0"/>
                    <w:jc w:val="center"/>
                    <w:rPr>
                      <w:color w:val="0000FF"/>
                      <w:szCs w:val="21"/>
                    </w:rPr>
                  </w:pPr>
                  <w:r>
                    <w:rPr>
                      <w:rFonts w:hint="eastAsia"/>
                      <w:color w:val="0000FF"/>
                      <w:szCs w:val="21"/>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705" w:type="dxa"/>
                  <w:vMerge w:val="continue"/>
                  <w:vAlign w:val="center"/>
                </w:tcPr>
                <w:p>
                  <w:pPr>
                    <w:adjustRightInd w:val="0"/>
                    <w:snapToGrid w:val="0"/>
                    <w:jc w:val="center"/>
                    <w:rPr>
                      <w:color w:val="0000FF"/>
                      <w:szCs w:val="21"/>
                    </w:rPr>
                  </w:pPr>
                </w:p>
              </w:tc>
              <w:tc>
                <w:tcPr>
                  <w:tcW w:w="676" w:type="dxa"/>
                  <w:vMerge w:val="continue"/>
                  <w:tcBorders>
                    <w:right w:val="single" w:color="auto" w:sz="4" w:space="0"/>
                  </w:tcBorders>
                  <w:vAlign w:val="center"/>
                </w:tcPr>
                <w:p>
                  <w:pPr>
                    <w:adjustRightInd w:val="0"/>
                    <w:snapToGrid w:val="0"/>
                    <w:jc w:val="center"/>
                    <w:rPr>
                      <w:color w:val="0000FF"/>
                      <w:szCs w:val="21"/>
                    </w:rPr>
                  </w:pPr>
                </w:p>
              </w:tc>
              <w:tc>
                <w:tcPr>
                  <w:tcW w:w="919" w:type="dxa"/>
                  <w:tcBorders>
                    <w:left w:val="single" w:color="auto" w:sz="4" w:space="0"/>
                  </w:tcBorders>
                  <w:vAlign w:val="center"/>
                </w:tcPr>
                <w:p>
                  <w:pPr>
                    <w:adjustRightInd w:val="0"/>
                    <w:snapToGrid w:val="0"/>
                    <w:jc w:val="center"/>
                    <w:rPr>
                      <w:color w:val="0000FF"/>
                      <w:szCs w:val="21"/>
                    </w:rPr>
                  </w:pPr>
                  <w:r>
                    <w:rPr>
                      <w:rFonts w:hint="eastAsia"/>
                      <w:color w:val="0000FF"/>
                      <w:szCs w:val="21"/>
                    </w:rPr>
                    <w:t>三级沉淀池</w:t>
                  </w:r>
                </w:p>
              </w:tc>
              <w:tc>
                <w:tcPr>
                  <w:tcW w:w="5169" w:type="dxa"/>
                  <w:vAlign w:val="center"/>
                </w:tcPr>
                <w:p>
                  <w:pPr>
                    <w:adjustRightInd w:val="0"/>
                    <w:snapToGrid w:val="0"/>
                    <w:rPr>
                      <w:color w:val="0000FF"/>
                      <w:szCs w:val="21"/>
                    </w:rPr>
                  </w:pPr>
                  <w:r>
                    <w:rPr>
                      <w:rFonts w:hint="eastAsia"/>
                      <w:color w:val="0000FF"/>
                      <w:szCs w:val="21"/>
                    </w:rPr>
                    <w:t>成品堆场南侧建成</w:t>
                  </w:r>
                  <w:r>
                    <w:rPr>
                      <w:color w:val="0000FF"/>
                      <w:szCs w:val="21"/>
                    </w:rPr>
                    <w:t>90</w:t>
                  </w:r>
                  <w:r>
                    <w:rPr>
                      <w:rFonts w:hint="eastAsia"/>
                      <w:color w:val="0000FF"/>
                      <w:szCs w:val="21"/>
                    </w:rPr>
                    <w:t>m³砖混结构三级沉淀池1座（</w:t>
                  </w:r>
                  <w:r>
                    <w:rPr>
                      <w:color w:val="0000FF"/>
                      <w:szCs w:val="21"/>
                    </w:rPr>
                    <w:t>4.8</w:t>
                  </w:r>
                  <w:r>
                    <w:rPr>
                      <w:rFonts w:hint="eastAsia"/>
                      <w:color w:val="0000FF"/>
                      <w:szCs w:val="21"/>
                    </w:rPr>
                    <w:t>m</w:t>
                  </w:r>
                  <w:r>
                    <w:rPr>
                      <w:color w:val="0000FF"/>
                      <w:szCs w:val="21"/>
                    </w:rPr>
                    <w:t>*2.5</w:t>
                  </w:r>
                  <w:r>
                    <w:rPr>
                      <w:rFonts w:hint="eastAsia"/>
                      <w:color w:val="0000FF"/>
                      <w:szCs w:val="21"/>
                    </w:rPr>
                    <w:t>m</w:t>
                  </w:r>
                  <w:r>
                    <w:rPr>
                      <w:color w:val="0000FF"/>
                      <w:szCs w:val="21"/>
                    </w:rPr>
                    <w:t>*2.5</w:t>
                  </w:r>
                  <w:r>
                    <w:rPr>
                      <w:rFonts w:hint="eastAsia"/>
                      <w:color w:val="0000FF"/>
                      <w:szCs w:val="21"/>
                    </w:rPr>
                    <w:t>m</w:t>
                  </w:r>
                  <w:r>
                    <w:rPr>
                      <w:color w:val="0000FF"/>
                      <w:szCs w:val="21"/>
                    </w:rPr>
                    <w:t>/</w:t>
                  </w:r>
                  <w:r>
                    <w:rPr>
                      <w:rFonts w:hint="eastAsia"/>
                      <w:color w:val="0000FF"/>
                      <w:szCs w:val="21"/>
                    </w:rPr>
                    <w:t>格）。</w:t>
                  </w:r>
                </w:p>
              </w:tc>
              <w:tc>
                <w:tcPr>
                  <w:tcW w:w="714" w:type="dxa"/>
                  <w:vAlign w:val="center"/>
                </w:tcPr>
                <w:p>
                  <w:pPr>
                    <w:adjustRightInd w:val="0"/>
                    <w:snapToGrid w:val="0"/>
                    <w:jc w:val="center"/>
                    <w:rPr>
                      <w:color w:val="0000FF"/>
                      <w:szCs w:val="21"/>
                    </w:rPr>
                  </w:pPr>
                  <w:r>
                    <w:rPr>
                      <w:rFonts w:hint="eastAsia"/>
                      <w:color w:val="0000FF"/>
                      <w:szCs w:val="21"/>
                    </w:rPr>
                    <w:t>已建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705" w:type="dxa"/>
                  <w:vMerge w:val="continue"/>
                  <w:vAlign w:val="center"/>
                </w:tcPr>
                <w:p>
                  <w:pPr>
                    <w:adjustRightInd w:val="0"/>
                    <w:snapToGrid w:val="0"/>
                    <w:jc w:val="center"/>
                    <w:rPr>
                      <w:color w:val="0000FF"/>
                      <w:szCs w:val="21"/>
                    </w:rPr>
                  </w:pPr>
                </w:p>
              </w:tc>
              <w:tc>
                <w:tcPr>
                  <w:tcW w:w="676" w:type="dxa"/>
                  <w:vMerge w:val="continue"/>
                  <w:tcBorders>
                    <w:right w:val="single" w:color="auto" w:sz="4" w:space="0"/>
                  </w:tcBorders>
                  <w:vAlign w:val="center"/>
                </w:tcPr>
                <w:p>
                  <w:pPr>
                    <w:adjustRightInd w:val="0"/>
                    <w:snapToGrid w:val="0"/>
                    <w:jc w:val="center"/>
                    <w:rPr>
                      <w:color w:val="0000FF"/>
                      <w:szCs w:val="21"/>
                    </w:rPr>
                  </w:pPr>
                </w:p>
              </w:tc>
              <w:tc>
                <w:tcPr>
                  <w:tcW w:w="919" w:type="dxa"/>
                  <w:tcBorders>
                    <w:left w:val="single" w:color="auto" w:sz="4" w:space="0"/>
                  </w:tcBorders>
                  <w:vAlign w:val="center"/>
                </w:tcPr>
                <w:p>
                  <w:pPr>
                    <w:adjustRightInd w:val="0"/>
                    <w:snapToGrid w:val="0"/>
                    <w:jc w:val="center"/>
                    <w:rPr>
                      <w:color w:val="0000FF"/>
                      <w:szCs w:val="21"/>
                    </w:rPr>
                  </w:pPr>
                  <w:r>
                    <w:rPr>
                      <w:rFonts w:hint="eastAsia"/>
                      <w:color w:val="0000FF"/>
                      <w:szCs w:val="21"/>
                    </w:rPr>
                    <w:t>清水池</w:t>
                  </w:r>
                </w:p>
              </w:tc>
              <w:tc>
                <w:tcPr>
                  <w:tcW w:w="5169" w:type="dxa"/>
                  <w:vAlign w:val="center"/>
                </w:tcPr>
                <w:p>
                  <w:pPr>
                    <w:adjustRightInd w:val="0"/>
                    <w:snapToGrid w:val="0"/>
                    <w:rPr>
                      <w:color w:val="0000FF"/>
                      <w:szCs w:val="21"/>
                    </w:rPr>
                  </w:pPr>
                  <w:r>
                    <w:rPr>
                      <w:rFonts w:hint="eastAsia"/>
                      <w:color w:val="0000FF"/>
                      <w:szCs w:val="21"/>
                    </w:rPr>
                    <w:t>成品堆棚南侧建成</w:t>
                  </w:r>
                  <w:r>
                    <w:rPr>
                      <w:color w:val="0000FF"/>
                      <w:szCs w:val="21"/>
                    </w:rPr>
                    <w:t>30</w:t>
                  </w:r>
                  <w:r>
                    <w:rPr>
                      <w:rFonts w:hint="eastAsia"/>
                      <w:color w:val="0000FF"/>
                      <w:szCs w:val="21"/>
                    </w:rPr>
                    <w:t>m³砖混结构清水池1座（</w:t>
                  </w:r>
                  <w:r>
                    <w:rPr>
                      <w:color w:val="0000FF"/>
                      <w:szCs w:val="21"/>
                    </w:rPr>
                    <w:t>4.8</w:t>
                  </w:r>
                  <w:r>
                    <w:rPr>
                      <w:rFonts w:hint="eastAsia"/>
                      <w:color w:val="0000FF"/>
                      <w:szCs w:val="21"/>
                    </w:rPr>
                    <w:t>m</w:t>
                  </w:r>
                  <w:r>
                    <w:rPr>
                      <w:color w:val="0000FF"/>
                      <w:szCs w:val="21"/>
                    </w:rPr>
                    <w:t>*2.5</w:t>
                  </w:r>
                  <w:r>
                    <w:rPr>
                      <w:rFonts w:hint="eastAsia"/>
                      <w:color w:val="0000FF"/>
                      <w:szCs w:val="21"/>
                    </w:rPr>
                    <w:t>m</w:t>
                  </w:r>
                  <w:r>
                    <w:rPr>
                      <w:color w:val="0000FF"/>
                      <w:szCs w:val="21"/>
                    </w:rPr>
                    <w:t>*2.5</w:t>
                  </w:r>
                  <w:r>
                    <w:rPr>
                      <w:rFonts w:hint="eastAsia"/>
                      <w:color w:val="0000FF"/>
                      <w:szCs w:val="21"/>
                    </w:rPr>
                    <w:t>m）。</w:t>
                  </w:r>
                </w:p>
              </w:tc>
              <w:tc>
                <w:tcPr>
                  <w:tcW w:w="714" w:type="dxa"/>
                  <w:vAlign w:val="center"/>
                </w:tcPr>
                <w:p>
                  <w:pPr>
                    <w:adjustRightInd w:val="0"/>
                    <w:snapToGrid w:val="0"/>
                    <w:jc w:val="center"/>
                    <w:rPr>
                      <w:color w:val="0000FF"/>
                      <w:szCs w:val="21"/>
                    </w:rPr>
                  </w:pPr>
                  <w:r>
                    <w:rPr>
                      <w:rFonts w:hint="eastAsia"/>
                      <w:color w:val="0000FF"/>
                      <w:szCs w:val="21"/>
                    </w:rPr>
                    <w:t>已建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705" w:type="dxa"/>
                  <w:vMerge w:val="continue"/>
                  <w:vAlign w:val="center"/>
                </w:tcPr>
                <w:p>
                  <w:pPr>
                    <w:adjustRightInd w:val="0"/>
                    <w:snapToGrid w:val="0"/>
                    <w:jc w:val="center"/>
                    <w:rPr>
                      <w:color w:val="0000FF"/>
                      <w:szCs w:val="21"/>
                    </w:rPr>
                  </w:pPr>
                </w:p>
              </w:tc>
              <w:tc>
                <w:tcPr>
                  <w:tcW w:w="676" w:type="dxa"/>
                  <w:vMerge w:val="continue"/>
                  <w:tcBorders>
                    <w:right w:val="single" w:color="auto" w:sz="4" w:space="0"/>
                  </w:tcBorders>
                  <w:vAlign w:val="center"/>
                </w:tcPr>
                <w:p>
                  <w:pPr>
                    <w:adjustRightInd w:val="0"/>
                    <w:snapToGrid w:val="0"/>
                    <w:jc w:val="center"/>
                    <w:rPr>
                      <w:color w:val="0000FF"/>
                      <w:szCs w:val="21"/>
                    </w:rPr>
                  </w:pPr>
                </w:p>
              </w:tc>
              <w:tc>
                <w:tcPr>
                  <w:tcW w:w="919" w:type="dxa"/>
                  <w:tcBorders>
                    <w:left w:val="single" w:color="auto" w:sz="4" w:space="0"/>
                  </w:tcBorders>
                  <w:vAlign w:val="center"/>
                </w:tcPr>
                <w:p>
                  <w:pPr>
                    <w:adjustRightInd w:val="0"/>
                    <w:snapToGrid w:val="0"/>
                    <w:jc w:val="center"/>
                    <w:rPr>
                      <w:color w:val="0000FF"/>
                      <w:szCs w:val="21"/>
                    </w:rPr>
                  </w:pPr>
                  <w:r>
                    <w:rPr>
                      <w:color w:val="0000FF"/>
                      <w:szCs w:val="21"/>
                    </w:rPr>
                    <w:t>初期雨水收集池</w:t>
                  </w:r>
                </w:p>
              </w:tc>
              <w:tc>
                <w:tcPr>
                  <w:tcW w:w="5169" w:type="dxa"/>
                  <w:vAlign w:val="center"/>
                </w:tcPr>
                <w:p>
                  <w:pPr>
                    <w:adjustRightInd w:val="0"/>
                    <w:snapToGrid w:val="0"/>
                    <w:rPr>
                      <w:color w:val="0000FF"/>
                      <w:szCs w:val="21"/>
                    </w:rPr>
                  </w:pPr>
                  <w:r>
                    <w:rPr>
                      <w:rFonts w:hint="eastAsia"/>
                      <w:color w:val="0000FF"/>
                      <w:szCs w:val="21"/>
                    </w:rPr>
                    <w:t>厂区东侧地势较低处建成</w:t>
                  </w:r>
                  <w:r>
                    <w:rPr>
                      <w:color w:val="0000FF"/>
                      <w:szCs w:val="21"/>
                    </w:rPr>
                    <w:t>30</w:t>
                  </w:r>
                  <w:r>
                    <w:rPr>
                      <w:rFonts w:hint="eastAsia"/>
                      <w:color w:val="0000FF"/>
                      <w:szCs w:val="21"/>
                    </w:rPr>
                    <w:t>m³砖混结构初期雨水收集池1座（（</w:t>
                  </w:r>
                  <w:r>
                    <w:rPr>
                      <w:color w:val="0000FF"/>
                      <w:szCs w:val="21"/>
                    </w:rPr>
                    <w:t>4.8</w:t>
                  </w:r>
                  <w:r>
                    <w:rPr>
                      <w:rFonts w:hint="eastAsia"/>
                      <w:color w:val="0000FF"/>
                      <w:szCs w:val="21"/>
                    </w:rPr>
                    <w:t>m</w:t>
                  </w:r>
                  <w:r>
                    <w:rPr>
                      <w:color w:val="0000FF"/>
                      <w:szCs w:val="21"/>
                    </w:rPr>
                    <w:t>*2.5</w:t>
                  </w:r>
                  <w:r>
                    <w:rPr>
                      <w:rFonts w:hint="eastAsia"/>
                      <w:color w:val="0000FF"/>
                      <w:szCs w:val="21"/>
                    </w:rPr>
                    <w:t>m</w:t>
                  </w:r>
                  <w:r>
                    <w:rPr>
                      <w:color w:val="0000FF"/>
                      <w:szCs w:val="21"/>
                    </w:rPr>
                    <w:t>*2.5</w:t>
                  </w:r>
                  <w:r>
                    <w:rPr>
                      <w:rFonts w:hint="eastAsia"/>
                      <w:color w:val="0000FF"/>
                      <w:szCs w:val="21"/>
                    </w:rPr>
                    <w:t>m）。</w:t>
                  </w:r>
                </w:p>
              </w:tc>
              <w:tc>
                <w:tcPr>
                  <w:tcW w:w="714" w:type="dxa"/>
                  <w:vAlign w:val="center"/>
                </w:tcPr>
                <w:p>
                  <w:pPr>
                    <w:adjustRightInd w:val="0"/>
                    <w:snapToGrid w:val="0"/>
                    <w:jc w:val="center"/>
                    <w:rPr>
                      <w:color w:val="0000FF"/>
                      <w:szCs w:val="21"/>
                    </w:rPr>
                  </w:pPr>
                  <w:r>
                    <w:rPr>
                      <w:rFonts w:hint="eastAsia"/>
                      <w:color w:val="0000FF"/>
                      <w:szCs w:val="21"/>
                    </w:rPr>
                    <w:t>建成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705" w:type="dxa"/>
                  <w:vMerge w:val="continue"/>
                  <w:vAlign w:val="center"/>
                </w:tcPr>
                <w:p>
                  <w:pPr>
                    <w:adjustRightInd w:val="0"/>
                    <w:snapToGrid w:val="0"/>
                    <w:jc w:val="center"/>
                    <w:rPr>
                      <w:color w:val="0000FF"/>
                      <w:szCs w:val="21"/>
                    </w:rPr>
                  </w:pPr>
                </w:p>
              </w:tc>
              <w:tc>
                <w:tcPr>
                  <w:tcW w:w="676" w:type="dxa"/>
                  <w:vMerge w:val="continue"/>
                  <w:tcBorders>
                    <w:right w:val="single" w:color="auto" w:sz="4" w:space="0"/>
                  </w:tcBorders>
                  <w:vAlign w:val="center"/>
                </w:tcPr>
                <w:p>
                  <w:pPr>
                    <w:adjustRightInd w:val="0"/>
                    <w:snapToGrid w:val="0"/>
                    <w:jc w:val="center"/>
                    <w:rPr>
                      <w:color w:val="0000FF"/>
                      <w:szCs w:val="21"/>
                    </w:rPr>
                  </w:pPr>
                </w:p>
              </w:tc>
              <w:tc>
                <w:tcPr>
                  <w:tcW w:w="919" w:type="dxa"/>
                  <w:tcBorders>
                    <w:left w:val="single" w:color="auto" w:sz="4" w:space="0"/>
                  </w:tcBorders>
                  <w:vAlign w:val="center"/>
                </w:tcPr>
                <w:p>
                  <w:pPr>
                    <w:adjustRightInd w:val="0"/>
                    <w:snapToGrid w:val="0"/>
                    <w:jc w:val="center"/>
                    <w:rPr>
                      <w:color w:val="0000FF"/>
                      <w:szCs w:val="21"/>
                    </w:rPr>
                  </w:pPr>
                  <w:r>
                    <w:rPr>
                      <w:rFonts w:hint="eastAsia"/>
                      <w:color w:val="0000FF"/>
                      <w:szCs w:val="21"/>
                    </w:rPr>
                    <w:t>车辆清洁池</w:t>
                  </w:r>
                </w:p>
              </w:tc>
              <w:tc>
                <w:tcPr>
                  <w:tcW w:w="5169" w:type="dxa"/>
                  <w:vAlign w:val="center"/>
                </w:tcPr>
                <w:p>
                  <w:pPr>
                    <w:adjustRightInd w:val="0"/>
                    <w:snapToGrid w:val="0"/>
                    <w:rPr>
                      <w:color w:val="0000FF"/>
                      <w:szCs w:val="21"/>
                    </w:rPr>
                  </w:pPr>
                  <w:r>
                    <w:rPr>
                      <w:rFonts w:hint="eastAsia"/>
                      <w:color w:val="0000FF"/>
                      <w:szCs w:val="21"/>
                    </w:rPr>
                    <w:t>项目区出入口处布设车辆清洁池1座，尺寸为：长12m，宽3.4m，采用C15砼浇筑。</w:t>
                  </w:r>
                </w:p>
              </w:tc>
              <w:tc>
                <w:tcPr>
                  <w:tcW w:w="714" w:type="dxa"/>
                  <w:vAlign w:val="center"/>
                </w:tcPr>
                <w:p>
                  <w:pPr>
                    <w:adjustRightInd w:val="0"/>
                    <w:snapToGrid w:val="0"/>
                    <w:jc w:val="center"/>
                    <w:rPr>
                      <w:color w:val="0000FF"/>
                      <w:szCs w:val="21"/>
                    </w:rPr>
                  </w:pPr>
                  <w:r>
                    <w:rPr>
                      <w:rFonts w:hint="eastAsia"/>
                      <w:color w:val="0000FF"/>
                      <w:szCs w:val="21"/>
                    </w:rPr>
                    <w:t>整改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705" w:type="dxa"/>
                  <w:vMerge w:val="continue"/>
                  <w:vAlign w:val="center"/>
                </w:tcPr>
                <w:p>
                  <w:pPr>
                    <w:adjustRightInd w:val="0"/>
                    <w:snapToGrid w:val="0"/>
                    <w:jc w:val="center"/>
                    <w:rPr>
                      <w:color w:val="0000FF"/>
                      <w:szCs w:val="21"/>
                    </w:rPr>
                  </w:pPr>
                </w:p>
              </w:tc>
              <w:tc>
                <w:tcPr>
                  <w:tcW w:w="676" w:type="dxa"/>
                  <w:vMerge w:val="restart"/>
                  <w:tcBorders>
                    <w:right w:val="single" w:color="auto" w:sz="4" w:space="0"/>
                  </w:tcBorders>
                  <w:vAlign w:val="center"/>
                </w:tcPr>
                <w:p>
                  <w:pPr>
                    <w:adjustRightInd w:val="0"/>
                    <w:snapToGrid w:val="0"/>
                    <w:jc w:val="center"/>
                    <w:rPr>
                      <w:color w:val="0000FF"/>
                      <w:szCs w:val="21"/>
                    </w:rPr>
                  </w:pPr>
                  <w:r>
                    <w:rPr>
                      <w:color w:val="0000FF"/>
                      <w:szCs w:val="21"/>
                    </w:rPr>
                    <w:t>废气</w:t>
                  </w:r>
                  <w:r>
                    <w:rPr>
                      <w:rFonts w:hint="eastAsia"/>
                      <w:color w:val="0000FF"/>
                      <w:szCs w:val="21"/>
                    </w:rPr>
                    <w:t>治理</w:t>
                  </w:r>
                  <w:r>
                    <w:rPr>
                      <w:color w:val="0000FF"/>
                      <w:szCs w:val="21"/>
                    </w:rPr>
                    <w:t>设施</w:t>
                  </w:r>
                </w:p>
              </w:tc>
              <w:tc>
                <w:tcPr>
                  <w:tcW w:w="6088" w:type="dxa"/>
                  <w:gridSpan w:val="2"/>
                  <w:tcBorders>
                    <w:left w:val="single" w:color="auto" w:sz="4" w:space="0"/>
                  </w:tcBorders>
                  <w:vAlign w:val="center"/>
                </w:tcPr>
                <w:p>
                  <w:pPr>
                    <w:adjustRightInd w:val="0"/>
                    <w:snapToGrid w:val="0"/>
                    <w:rPr>
                      <w:color w:val="0000FF"/>
                      <w:szCs w:val="21"/>
                    </w:rPr>
                  </w:pPr>
                  <w:r>
                    <w:rPr>
                      <w:rFonts w:hint="eastAsia"/>
                      <w:color w:val="0000FF"/>
                      <w:szCs w:val="21"/>
                    </w:rPr>
                    <w:t>成品堆棚设置为三面封闭围挡加顶，一面敞口单层钢结构，顶部配置1套喷淋系统。</w:t>
                  </w:r>
                </w:p>
              </w:tc>
              <w:tc>
                <w:tcPr>
                  <w:tcW w:w="714" w:type="dxa"/>
                  <w:vAlign w:val="center"/>
                </w:tcPr>
                <w:p>
                  <w:pPr>
                    <w:adjustRightInd w:val="0"/>
                    <w:snapToGrid w:val="0"/>
                    <w:jc w:val="center"/>
                    <w:rPr>
                      <w:color w:val="0000FF"/>
                      <w:szCs w:val="21"/>
                    </w:rPr>
                  </w:pPr>
                  <w:r>
                    <w:rPr>
                      <w:rFonts w:hint="eastAsia"/>
                      <w:color w:val="0000FF"/>
                      <w:szCs w:val="21"/>
                    </w:rPr>
                    <w:t>整改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705" w:type="dxa"/>
                  <w:vMerge w:val="continue"/>
                  <w:vAlign w:val="center"/>
                </w:tcPr>
                <w:p>
                  <w:pPr>
                    <w:adjustRightInd w:val="0"/>
                    <w:snapToGrid w:val="0"/>
                    <w:jc w:val="center"/>
                    <w:rPr>
                      <w:color w:val="0000FF"/>
                      <w:szCs w:val="21"/>
                    </w:rPr>
                  </w:pPr>
                </w:p>
              </w:tc>
              <w:tc>
                <w:tcPr>
                  <w:tcW w:w="676" w:type="dxa"/>
                  <w:vMerge w:val="continue"/>
                  <w:tcBorders>
                    <w:right w:val="single" w:color="auto" w:sz="4" w:space="0"/>
                  </w:tcBorders>
                  <w:vAlign w:val="center"/>
                </w:tcPr>
                <w:p>
                  <w:pPr>
                    <w:adjustRightInd w:val="0"/>
                    <w:snapToGrid w:val="0"/>
                    <w:jc w:val="center"/>
                    <w:rPr>
                      <w:color w:val="0000FF"/>
                      <w:szCs w:val="21"/>
                    </w:rPr>
                  </w:pPr>
                </w:p>
              </w:tc>
              <w:tc>
                <w:tcPr>
                  <w:tcW w:w="6088" w:type="dxa"/>
                  <w:gridSpan w:val="2"/>
                  <w:tcBorders>
                    <w:left w:val="single" w:color="auto" w:sz="4" w:space="0"/>
                  </w:tcBorders>
                  <w:vAlign w:val="center"/>
                </w:tcPr>
                <w:p>
                  <w:pPr>
                    <w:adjustRightInd w:val="0"/>
                    <w:snapToGrid w:val="0"/>
                    <w:rPr>
                      <w:color w:val="0000FF"/>
                      <w:szCs w:val="21"/>
                    </w:rPr>
                  </w:pPr>
                  <w:r>
                    <w:rPr>
                      <w:rFonts w:hint="eastAsia"/>
                      <w:color w:val="0000FF"/>
                      <w:szCs w:val="21"/>
                    </w:rPr>
                    <w:t>原料堆棚设置为三面封闭围挡加顶，一面敞口单层钢结构，顶部配置1套喷淋系统。</w:t>
                  </w:r>
                </w:p>
              </w:tc>
              <w:tc>
                <w:tcPr>
                  <w:tcW w:w="714" w:type="dxa"/>
                  <w:vAlign w:val="center"/>
                </w:tcPr>
                <w:p>
                  <w:pPr>
                    <w:adjustRightInd w:val="0"/>
                    <w:snapToGrid w:val="0"/>
                    <w:jc w:val="center"/>
                    <w:rPr>
                      <w:color w:val="0000FF"/>
                      <w:szCs w:val="21"/>
                    </w:rPr>
                  </w:pPr>
                  <w:r>
                    <w:rPr>
                      <w:rFonts w:hint="eastAsia"/>
                      <w:color w:val="0000FF"/>
                      <w:szCs w:val="21"/>
                    </w:rPr>
                    <w:t>整改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705" w:type="dxa"/>
                  <w:vMerge w:val="continue"/>
                  <w:vAlign w:val="center"/>
                </w:tcPr>
                <w:p>
                  <w:pPr>
                    <w:adjustRightInd w:val="0"/>
                    <w:snapToGrid w:val="0"/>
                    <w:jc w:val="center"/>
                    <w:rPr>
                      <w:color w:val="0000FF"/>
                      <w:szCs w:val="21"/>
                    </w:rPr>
                  </w:pPr>
                </w:p>
              </w:tc>
              <w:tc>
                <w:tcPr>
                  <w:tcW w:w="676" w:type="dxa"/>
                  <w:vMerge w:val="continue"/>
                  <w:tcBorders>
                    <w:right w:val="single" w:color="auto" w:sz="4" w:space="0"/>
                  </w:tcBorders>
                  <w:vAlign w:val="center"/>
                </w:tcPr>
                <w:p>
                  <w:pPr>
                    <w:adjustRightInd w:val="0"/>
                    <w:snapToGrid w:val="0"/>
                    <w:jc w:val="center"/>
                    <w:rPr>
                      <w:color w:val="0000FF"/>
                      <w:szCs w:val="21"/>
                    </w:rPr>
                  </w:pPr>
                </w:p>
              </w:tc>
              <w:tc>
                <w:tcPr>
                  <w:tcW w:w="6088" w:type="dxa"/>
                  <w:gridSpan w:val="2"/>
                  <w:tcBorders>
                    <w:left w:val="single" w:color="auto" w:sz="4" w:space="0"/>
                  </w:tcBorders>
                  <w:vAlign w:val="center"/>
                </w:tcPr>
                <w:p>
                  <w:pPr>
                    <w:adjustRightInd w:val="0"/>
                    <w:snapToGrid w:val="0"/>
                    <w:rPr>
                      <w:color w:val="0000FF"/>
                      <w:szCs w:val="21"/>
                    </w:rPr>
                  </w:pPr>
                  <w:r>
                    <w:rPr>
                      <w:rFonts w:hint="eastAsia"/>
                      <w:color w:val="0000FF"/>
                      <w:szCs w:val="21"/>
                    </w:rPr>
                    <w:t>破碎站、振动筛进行密闭处理，厂区配置1台布袋除尘器对各破碎、筛分环节扬尘进行收集后通过排气筒DA</w:t>
                  </w:r>
                  <w:r>
                    <w:rPr>
                      <w:color w:val="0000FF"/>
                      <w:szCs w:val="21"/>
                    </w:rPr>
                    <w:t>001</w:t>
                  </w:r>
                  <w:r>
                    <w:rPr>
                      <w:rFonts w:hint="eastAsia"/>
                      <w:color w:val="0000FF"/>
                      <w:szCs w:val="21"/>
                    </w:rPr>
                    <w:t>进行有组织排放；皮带输送机进行密闭处理。</w:t>
                  </w:r>
                </w:p>
              </w:tc>
              <w:tc>
                <w:tcPr>
                  <w:tcW w:w="714" w:type="dxa"/>
                  <w:vAlign w:val="center"/>
                </w:tcPr>
                <w:p>
                  <w:pPr>
                    <w:adjustRightInd w:val="0"/>
                    <w:snapToGrid w:val="0"/>
                    <w:jc w:val="center"/>
                    <w:rPr>
                      <w:color w:val="0000FF"/>
                      <w:szCs w:val="21"/>
                    </w:rPr>
                  </w:pPr>
                  <w:r>
                    <w:rPr>
                      <w:rFonts w:hint="eastAsia"/>
                      <w:color w:val="0000FF"/>
                      <w:szCs w:val="21"/>
                    </w:rPr>
                    <w:t>整改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705" w:type="dxa"/>
                  <w:vMerge w:val="continue"/>
                  <w:vAlign w:val="center"/>
                </w:tcPr>
                <w:p>
                  <w:pPr>
                    <w:adjustRightInd w:val="0"/>
                    <w:snapToGrid w:val="0"/>
                    <w:jc w:val="center"/>
                    <w:rPr>
                      <w:color w:val="0000FF"/>
                      <w:szCs w:val="21"/>
                    </w:rPr>
                  </w:pPr>
                </w:p>
              </w:tc>
              <w:tc>
                <w:tcPr>
                  <w:tcW w:w="676" w:type="dxa"/>
                  <w:vMerge w:val="continue"/>
                  <w:tcBorders>
                    <w:right w:val="single" w:color="auto" w:sz="4" w:space="0"/>
                  </w:tcBorders>
                  <w:vAlign w:val="center"/>
                </w:tcPr>
                <w:p>
                  <w:pPr>
                    <w:adjustRightInd w:val="0"/>
                    <w:snapToGrid w:val="0"/>
                    <w:jc w:val="center"/>
                    <w:rPr>
                      <w:color w:val="0000FF"/>
                      <w:szCs w:val="21"/>
                    </w:rPr>
                  </w:pPr>
                </w:p>
              </w:tc>
              <w:tc>
                <w:tcPr>
                  <w:tcW w:w="6088" w:type="dxa"/>
                  <w:gridSpan w:val="2"/>
                  <w:tcBorders>
                    <w:left w:val="single" w:color="auto" w:sz="4" w:space="0"/>
                  </w:tcBorders>
                  <w:vAlign w:val="center"/>
                </w:tcPr>
                <w:p>
                  <w:pPr>
                    <w:adjustRightInd w:val="0"/>
                    <w:snapToGrid w:val="0"/>
                    <w:rPr>
                      <w:color w:val="0000FF"/>
                      <w:szCs w:val="21"/>
                    </w:rPr>
                  </w:pPr>
                  <w:r>
                    <w:rPr>
                      <w:rFonts w:hint="eastAsia"/>
                      <w:color w:val="0000FF"/>
                      <w:szCs w:val="21"/>
                    </w:rPr>
                    <w:t>厂区运输道路及地面铺摊碎石铺垫，配置1台移动式雾炮机晴天对厂区进行雾化降尘。</w:t>
                  </w:r>
                </w:p>
              </w:tc>
              <w:tc>
                <w:tcPr>
                  <w:tcW w:w="714" w:type="dxa"/>
                  <w:vAlign w:val="center"/>
                </w:tcPr>
                <w:p>
                  <w:pPr>
                    <w:adjustRightInd w:val="0"/>
                    <w:snapToGrid w:val="0"/>
                    <w:jc w:val="center"/>
                    <w:rPr>
                      <w:color w:val="0000FF"/>
                      <w:szCs w:val="21"/>
                    </w:rPr>
                  </w:pPr>
                  <w:r>
                    <w:rPr>
                      <w:rFonts w:hint="eastAsia"/>
                      <w:color w:val="0000FF"/>
                      <w:szCs w:val="21"/>
                    </w:rPr>
                    <w:t>整改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705" w:type="dxa"/>
                  <w:vMerge w:val="continue"/>
                  <w:vAlign w:val="center"/>
                </w:tcPr>
                <w:p>
                  <w:pPr>
                    <w:adjustRightInd w:val="0"/>
                    <w:snapToGrid w:val="0"/>
                    <w:jc w:val="center"/>
                    <w:rPr>
                      <w:color w:val="0000FF"/>
                      <w:szCs w:val="21"/>
                    </w:rPr>
                  </w:pPr>
                </w:p>
              </w:tc>
              <w:tc>
                <w:tcPr>
                  <w:tcW w:w="676" w:type="dxa"/>
                  <w:vMerge w:val="restart"/>
                  <w:tcBorders>
                    <w:right w:val="single" w:color="auto" w:sz="4" w:space="0"/>
                  </w:tcBorders>
                  <w:vAlign w:val="center"/>
                </w:tcPr>
                <w:p>
                  <w:pPr>
                    <w:adjustRightInd w:val="0"/>
                    <w:snapToGrid w:val="0"/>
                    <w:jc w:val="center"/>
                    <w:rPr>
                      <w:color w:val="0000FF"/>
                      <w:szCs w:val="21"/>
                    </w:rPr>
                  </w:pPr>
                  <w:r>
                    <w:rPr>
                      <w:rFonts w:hint="eastAsia"/>
                      <w:color w:val="0000FF"/>
                      <w:szCs w:val="21"/>
                    </w:rPr>
                    <w:t>固废暂存设施</w:t>
                  </w:r>
                </w:p>
              </w:tc>
              <w:tc>
                <w:tcPr>
                  <w:tcW w:w="919" w:type="dxa"/>
                  <w:tcBorders>
                    <w:left w:val="single" w:color="auto" w:sz="4" w:space="0"/>
                  </w:tcBorders>
                  <w:vAlign w:val="center"/>
                </w:tcPr>
                <w:p>
                  <w:pPr>
                    <w:adjustRightInd w:val="0"/>
                    <w:snapToGrid w:val="0"/>
                    <w:jc w:val="center"/>
                    <w:rPr>
                      <w:color w:val="0000FF"/>
                      <w:szCs w:val="21"/>
                    </w:rPr>
                  </w:pPr>
                  <w:r>
                    <w:rPr>
                      <w:color w:val="0000FF"/>
                      <w:szCs w:val="21"/>
                    </w:rPr>
                    <w:t>危废暂存间</w:t>
                  </w:r>
                </w:p>
              </w:tc>
              <w:tc>
                <w:tcPr>
                  <w:tcW w:w="5169" w:type="dxa"/>
                  <w:vAlign w:val="center"/>
                </w:tcPr>
                <w:p>
                  <w:pPr>
                    <w:adjustRightInd w:val="0"/>
                    <w:snapToGrid w:val="0"/>
                    <w:rPr>
                      <w:color w:val="0000FF"/>
                      <w:szCs w:val="21"/>
                    </w:rPr>
                  </w:pPr>
                  <w:r>
                    <w:rPr>
                      <w:rFonts w:hint="eastAsia"/>
                      <w:color w:val="0000FF"/>
                      <w:szCs w:val="21"/>
                    </w:rPr>
                    <w:t>办公生活区旁新建危废暂存间1座，占地面积约5㎡，按照建设规范要求完善“三防”设施，地面进行重点防渗处理，内部设置砖砌围堰。</w:t>
                  </w:r>
                </w:p>
              </w:tc>
              <w:tc>
                <w:tcPr>
                  <w:tcW w:w="714" w:type="dxa"/>
                  <w:vAlign w:val="center"/>
                </w:tcPr>
                <w:p>
                  <w:pPr>
                    <w:adjustRightInd w:val="0"/>
                    <w:snapToGrid w:val="0"/>
                    <w:jc w:val="center"/>
                    <w:rPr>
                      <w:color w:val="0000FF"/>
                      <w:szCs w:val="21"/>
                    </w:rPr>
                  </w:pPr>
                  <w:r>
                    <w:rPr>
                      <w:rFonts w:hint="eastAsia"/>
                      <w:color w:val="0000FF"/>
                      <w:szCs w:val="21"/>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705" w:type="dxa"/>
                  <w:vMerge w:val="continue"/>
                  <w:vAlign w:val="center"/>
                </w:tcPr>
                <w:p>
                  <w:pPr>
                    <w:adjustRightInd w:val="0"/>
                    <w:snapToGrid w:val="0"/>
                    <w:jc w:val="center"/>
                    <w:rPr>
                      <w:color w:val="0000FF"/>
                      <w:szCs w:val="21"/>
                    </w:rPr>
                  </w:pPr>
                </w:p>
              </w:tc>
              <w:tc>
                <w:tcPr>
                  <w:tcW w:w="676" w:type="dxa"/>
                  <w:vMerge w:val="continue"/>
                  <w:tcBorders>
                    <w:right w:val="single" w:color="auto" w:sz="4" w:space="0"/>
                  </w:tcBorders>
                  <w:vAlign w:val="center"/>
                </w:tcPr>
                <w:p>
                  <w:pPr>
                    <w:adjustRightInd w:val="0"/>
                    <w:snapToGrid w:val="0"/>
                    <w:jc w:val="center"/>
                    <w:rPr>
                      <w:color w:val="0000FF"/>
                      <w:szCs w:val="21"/>
                    </w:rPr>
                  </w:pPr>
                </w:p>
              </w:tc>
              <w:tc>
                <w:tcPr>
                  <w:tcW w:w="919" w:type="dxa"/>
                  <w:tcBorders>
                    <w:left w:val="single" w:color="auto" w:sz="4" w:space="0"/>
                  </w:tcBorders>
                  <w:vAlign w:val="center"/>
                </w:tcPr>
                <w:p>
                  <w:pPr>
                    <w:adjustRightInd w:val="0"/>
                    <w:snapToGrid w:val="0"/>
                    <w:jc w:val="center"/>
                    <w:rPr>
                      <w:color w:val="0000FF"/>
                      <w:szCs w:val="21"/>
                    </w:rPr>
                  </w:pPr>
                  <w:r>
                    <w:rPr>
                      <w:rFonts w:hint="eastAsia"/>
                      <w:color w:val="0000FF"/>
                      <w:szCs w:val="21"/>
                    </w:rPr>
                    <w:t>污泥干化区</w:t>
                  </w:r>
                </w:p>
              </w:tc>
              <w:tc>
                <w:tcPr>
                  <w:tcW w:w="5169" w:type="dxa"/>
                  <w:vAlign w:val="center"/>
                </w:tcPr>
                <w:p>
                  <w:pPr>
                    <w:adjustRightInd w:val="0"/>
                    <w:snapToGrid w:val="0"/>
                    <w:rPr>
                      <w:color w:val="0000FF"/>
                      <w:szCs w:val="21"/>
                    </w:rPr>
                  </w:pPr>
                  <w:r>
                    <w:rPr>
                      <w:rFonts w:hint="eastAsia"/>
                      <w:color w:val="0000FF"/>
                      <w:szCs w:val="21"/>
                    </w:rPr>
                    <w:t>三级沉淀池旁设置</w:t>
                  </w:r>
                  <w:r>
                    <w:rPr>
                      <w:color w:val="0000FF"/>
                      <w:szCs w:val="21"/>
                    </w:rPr>
                    <w:t>20</w:t>
                  </w:r>
                  <w:r>
                    <w:rPr>
                      <w:rFonts w:hint="eastAsia"/>
                      <w:color w:val="0000FF"/>
                      <w:szCs w:val="21"/>
                    </w:rPr>
                    <w:t>㎡淀池污泥干化场1座，三面砖砌围挡，顶部加盖，四周设置接排水沟。</w:t>
                  </w:r>
                </w:p>
              </w:tc>
              <w:tc>
                <w:tcPr>
                  <w:tcW w:w="714" w:type="dxa"/>
                  <w:vAlign w:val="center"/>
                </w:tcPr>
                <w:p>
                  <w:pPr>
                    <w:adjustRightInd w:val="0"/>
                    <w:snapToGrid w:val="0"/>
                    <w:jc w:val="center"/>
                    <w:rPr>
                      <w:color w:val="0000FF"/>
                      <w:szCs w:val="21"/>
                    </w:rPr>
                  </w:pPr>
                  <w:r>
                    <w:rPr>
                      <w:rFonts w:hint="eastAsia"/>
                      <w:color w:val="0000FF"/>
                      <w:szCs w:val="21"/>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705" w:type="dxa"/>
                  <w:vMerge w:val="continue"/>
                  <w:vAlign w:val="center"/>
                </w:tcPr>
                <w:p>
                  <w:pPr>
                    <w:adjustRightInd w:val="0"/>
                    <w:snapToGrid w:val="0"/>
                    <w:jc w:val="center"/>
                    <w:rPr>
                      <w:color w:val="0000FF"/>
                      <w:szCs w:val="21"/>
                    </w:rPr>
                  </w:pPr>
                </w:p>
              </w:tc>
              <w:tc>
                <w:tcPr>
                  <w:tcW w:w="676" w:type="dxa"/>
                  <w:tcBorders>
                    <w:right w:val="single" w:color="auto" w:sz="4" w:space="0"/>
                  </w:tcBorders>
                  <w:vAlign w:val="center"/>
                </w:tcPr>
                <w:p>
                  <w:pPr>
                    <w:adjustRightInd w:val="0"/>
                    <w:snapToGrid w:val="0"/>
                    <w:jc w:val="center"/>
                    <w:rPr>
                      <w:color w:val="0000FF"/>
                      <w:szCs w:val="21"/>
                    </w:rPr>
                  </w:pPr>
                  <w:r>
                    <w:rPr>
                      <w:rFonts w:hint="eastAsia"/>
                      <w:color w:val="0000FF"/>
                      <w:szCs w:val="21"/>
                    </w:rPr>
                    <w:t>噪声防治设施</w:t>
                  </w:r>
                </w:p>
              </w:tc>
              <w:tc>
                <w:tcPr>
                  <w:tcW w:w="6088" w:type="dxa"/>
                  <w:gridSpan w:val="2"/>
                  <w:tcBorders>
                    <w:left w:val="single" w:color="auto" w:sz="4" w:space="0"/>
                  </w:tcBorders>
                  <w:vAlign w:val="center"/>
                </w:tcPr>
                <w:p>
                  <w:pPr>
                    <w:adjustRightInd w:val="0"/>
                    <w:snapToGrid w:val="0"/>
                    <w:rPr>
                      <w:color w:val="0000FF"/>
                      <w:szCs w:val="21"/>
                    </w:rPr>
                  </w:pPr>
                  <w:r>
                    <w:rPr>
                      <w:rFonts w:hint="eastAsia"/>
                      <w:color w:val="0000FF"/>
                      <w:szCs w:val="21"/>
                    </w:rPr>
                    <w:t>机械设备安装基座采用混凝土进行浇筑，破碎站、振动筛等全密闭处理。</w:t>
                  </w:r>
                </w:p>
              </w:tc>
              <w:tc>
                <w:tcPr>
                  <w:tcW w:w="714" w:type="dxa"/>
                  <w:vAlign w:val="center"/>
                </w:tcPr>
                <w:p>
                  <w:pPr>
                    <w:adjustRightInd w:val="0"/>
                    <w:snapToGrid w:val="0"/>
                    <w:jc w:val="center"/>
                    <w:rPr>
                      <w:color w:val="0000FF"/>
                      <w:szCs w:val="21"/>
                    </w:rPr>
                  </w:pPr>
                  <w:r>
                    <w:rPr>
                      <w:rFonts w:hint="eastAsia"/>
                      <w:color w:val="0000FF"/>
                      <w:szCs w:val="21"/>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705" w:type="dxa"/>
                  <w:vMerge w:val="continue"/>
                  <w:vAlign w:val="center"/>
                </w:tcPr>
                <w:p>
                  <w:pPr>
                    <w:adjustRightInd w:val="0"/>
                    <w:snapToGrid w:val="0"/>
                    <w:jc w:val="center"/>
                    <w:rPr>
                      <w:color w:val="0000FF"/>
                      <w:szCs w:val="21"/>
                    </w:rPr>
                  </w:pPr>
                  <w:bookmarkStart w:id="24" w:name="_Hlk143268946"/>
                </w:p>
              </w:tc>
              <w:tc>
                <w:tcPr>
                  <w:tcW w:w="676" w:type="dxa"/>
                  <w:vMerge w:val="restart"/>
                  <w:tcBorders>
                    <w:right w:val="single" w:color="auto" w:sz="4" w:space="0"/>
                  </w:tcBorders>
                  <w:vAlign w:val="center"/>
                </w:tcPr>
                <w:p>
                  <w:pPr>
                    <w:adjustRightInd w:val="0"/>
                    <w:snapToGrid w:val="0"/>
                    <w:jc w:val="center"/>
                    <w:rPr>
                      <w:color w:val="0000FF"/>
                      <w:szCs w:val="21"/>
                    </w:rPr>
                  </w:pPr>
                  <w:r>
                    <w:rPr>
                      <w:rFonts w:hint="eastAsia"/>
                      <w:color w:val="0000FF"/>
                      <w:szCs w:val="21"/>
                    </w:rPr>
                    <w:t>风险防范设施</w:t>
                  </w:r>
                </w:p>
              </w:tc>
              <w:tc>
                <w:tcPr>
                  <w:tcW w:w="919" w:type="dxa"/>
                  <w:tcBorders>
                    <w:left w:val="single" w:color="auto" w:sz="4" w:space="0"/>
                  </w:tcBorders>
                  <w:vAlign w:val="center"/>
                </w:tcPr>
                <w:p>
                  <w:pPr>
                    <w:adjustRightInd w:val="0"/>
                    <w:snapToGrid w:val="0"/>
                    <w:jc w:val="center"/>
                    <w:rPr>
                      <w:color w:val="0000FF"/>
                      <w:szCs w:val="21"/>
                    </w:rPr>
                  </w:pPr>
                  <w:r>
                    <w:rPr>
                      <w:rFonts w:hint="eastAsia"/>
                      <w:color w:val="0000FF"/>
                      <w:szCs w:val="21"/>
                    </w:rPr>
                    <w:t>围堰</w:t>
                  </w:r>
                </w:p>
              </w:tc>
              <w:tc>
                <w:tcPr>
                  <w:tcW w:w="5169" w:type="dxa"/>
                  <w:vAlign w:val="center"/>
                </w:tcPr>
                <w:p>
                  <w:pPr>
                    <w:adjustRightInd w:val="0"/>
                    <w:snapToGrid w:val="0"/>
                    <w:rPr>
                      <w:color w:val="0000FF"/>
                      <w:szCs w:val="21"/>
                    </w:rPr>
                  </w:pPr>
                  <w:r>
                    <w:rPr>
                      <w:rFonts w:hint="eastAsia"/>
                      <w:color w:val="0000FF"/>
                      <w:szCs w:val="21"/>
                    </w:rPr>
                    <w:t>危废暂存间内部设置砖砌围堰，围堰高度</w:t>
                  </w:r>
                  <w:r>
                    <w:rPr>
                      <w:color w:val="0000FF"/>
                      <w:szCs w:val="21"/>
                    </w:rPr>
                    <w:t>300</w:t>
                  </w:r>
                  <w:r>
                    <w:rPr>
                      <w:rFonts w:hint="eastAsia"/>
                      <w:color w:val="0000FF"/>
                      <w:szCs w:val="21"/>
                    </w:rPr>
                    <w:t>mm，宽度1</w:t>
                  </w:r>
                  <w:r>
                    <w:rPr>
                      <w:color w:val="0000FF"/>
                      <w:szCs w:val="21"/>
                    </w:rPr>
                    <w:t>00</w:t>
                  </w:r>
                  <w:r>
                    <w:rPr>
                      <w:rFonts w:hint="eastAsia"/>
                      <w:color w:val="0000FF"/>
                      <w:szCs w:val="21"/>
                    </w:rPr>
                    <w:t>mm。</w:t>
                  </w:r>
                </w:p>
              </w:tc>
              <w:tc>
                <w:tcPr>
                  <w:tcW w:w="714" w:type="dxa"/>
                  <w:vAlign w:val="center"/>
                </w:tcPr>
                <w:p>
                  <w:pPr>
                    <w:adjustRightInd w:val="0"/>
                    <w:snapToGrid w:val="0"/>
                    <w:jc w:val="center"/>
                    <w:rPr>
                      <w:color w:val="0000FF"/>
                      <w:szCs w:val="21"/>
                    </w:rPr>
                  </w:pPr>
                  <w:r>
                    <w:rPr>
                      <w:rFonts w:hint="eastAsia"/>
                      <w:color w:val="0000FF"/>
                      <w:szCs w:val="21"/>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705" w:type="dxa"/>
                  <w:vMerge w:val="continue"/>
                  <w:vAlign w:val="center"/>
                </w:tcPr>
                <w:p>
                  <w:pPr>
                    <w:adjustRightInd w:val="0"/>
                    <w:snapToGrid w:val="0"/>
                    <w:rPr>
                      <w:color w:val="0000FF"/>
                      <w:szCs w:val="21"/>
                    </w:rPr>
                  </w:pPr>
                </w:p>
              </w:tc>
              <w:tc>
                <w:tcPr>
                  <w:tcW w:w="676" w:type="dxa"/>
                  <w:vMerge w:val="continue"/>
                  <w:tcBorders>
                    <w:right w:val="single" w:color="auto" w:sz="4" w:space="0"/>
                  </w:tcBorders>
                  <w:vAlign w:val="center"/>
                </w:tcPr>
                <w:p>
                  <w:pPr>
                    <w:adjustRightInd w:val="0"/>
                    <w:snapToGrid w:val="0"/>
                    <w:rPr>
                      <w:color w:val="0000FF"/>
                      <w:szCs w:val="21"/>
                    </w:rPr>
                  </w:pPr>
                </w:p>
              </w:tc>
              <w:tc>
                <w:tcPr>
                  <w:tcW w:w="919" w:type="dxa"/>
                  <w:tcBorders>
                    <w:left w:val="single" w:color="auto" w:sz="4" w:space="0"/>
                  </w:tcBorders>
                  <w:vAlign w:val="center"/>
                </w:tcPr>
                <w:p>
                  <w:pPr>
                    <w:adjustRightInd w:val="0"/>
                    <w:snapToGrid w:val="0"/>
                    <w:rPr>
                      <w:color w:val="0000FF"/>
                      <w:szCs w:val="21"/>
                    </w:rPr>
                  </w:pPr>
                  <w:r>
                    <w:rPr>
                      <w:rFonts w:hint="eastAsia"/>
                      <w:color w:val="0000FF"/>
                      <w:szCs w:val="21"/>
                    </w:rPr>
                    <w:t>防渗</w:t>
                  </w:r>
                </w:p>
              </w:tc>
              <w:tc>
                <w:tcPr>
                  <w:tcW w:w="5169" w:type="dxa"/>
                  <w:vAlign w:val="center"/>
                </w:tcPr>
                <w:p>
                  <w:pPr>
                    <w:adjustRightInd w:val="0"/>
                    <w:snapToGrid w:val="0"/>
                    <w:rPr>
                      <w:color w:val="0000FF"/>
                      <w:szCs w:val="21"/>
                    </w:rPr>
                  </w:pPr>
                  <w:r>
                    <w:rPr>
                      <w:rFonts w:hint="eastAsia"/>
                      <w:color w:val="0000FF"/>
                      <w:szCs w:val="21"/>
                    </w:rPr>
                    <w:t>危废暂存间内部进行重点防渗处理，防渗系数要求达等效黏土防渗层Mb≥6.0m，K≤1×10</w:t>
                  </w:r>
                  <w:r>
                    <w:rPr>
                      <w:rFonts w:hint="eastAsia"/>
                      <w:color w:val="0000FF"/>
                      <w:szCs w:val="21"/>
                      <w:vertAlign w:val="superscript"/>
                    </w:rPr>
                    <w:t>-7</w:t>
                  </w:r>
                  <w:r>
                    <w:rPr>
                      <w:rFonts w:hint="eastAsia"/>
                      <w:color w:val="0000FF"/>
                      <w:szCs w:val="21"/>
                    </w:rPr>
                    <w:t>cm/s，或参照GB18598执行，具体措施如下：</w:t>
                  </w:r>
                </w:p>
                <w:p>
                  <w:pPr>
                    <w:adjustRightInd w:val="0"/>
                    <w:snapToGrid w:val="0"/>
                    <w:rPr>
                      <w:color w:val="0000FF"/>
                      <w:szCs w:val="21"/>
                    </w:rPr>
                  </w:pPr>
                  <w:r>
                    <w:rPr>
                      <w:rFonts w:hint="eastAsia"/>
                      <w:color w:val="0000FF"/>
                      <w:szCs w:val="21"/>
                    </w:rPr>
                    <w:t>①底部重点防渗措施：</w:t>
                  </w:r>
                </w:p>
                <w:p>
                  <w:pPr>
                    <w:adjustRightInd w:val="0"/>
                    <w:snapToGrid w:val="0"/>
                    <w:rPr>
                      <w:color w:val="0000FF"/>
                      <w:szCs w:val="21"/>
                    </w:rPr>
                  </w:pPr>
                  <w:r>
                    <w:rPr>
                      <w:rFonts w:hint="eastAsia"/>
                      <w:color w:val="0000FF"/>
                      <w:szCs w:val="21"/>
                    </w:rPr>
                    <w:t>A、素土夯实，压缩系数不小于0.94；</w:t>
                  </w:r>
                </w:p>
                <w:p>
                  <w:pPr>
                    <w:adjustRightInd w:val="0"/>
                    <w:snapToGrid w:val="0"/>
                    <w:rPr>
                      <w:color w:val="0000FF"/>
                      <w:szCs w:val="21"/>
                    </w:rPr>
                  </w:pPr>
                  <w:r>
                    <w:rPr>
                      <w:rFonts w:hint="eastAsia"/>
                      <w:color w:val="0000FF"/>
                      <w:szCs w:val="21"/>
                    </w:rPr>
                    <w:t>B、100mm厚C15混凝土垫层一道；</w:t>
                  </w:r>
                </w:p>
                <w:p>
                  <w:pPr>
                    <w:adjustRightInd w:val="0"/>
                    <w:snapToGrid w:val="0"/>
                    <w:rPr>
                      <w:color w:val="0000FF"/>
                      <w:szCs w:val="21"/>
                    </w:rPr>
                  </w:pPr>
                  <w:r>
                    <w:rPr>
                      <w:rFonts w:hint="eastAsia"/>
                      <w:color w:val="0000FF"/>
                      <w:szCs w:val="21"/>
                    </w:rPr>
                    <w:t>C、20mm厚1:2防水砂浆找平；</w:t>
                  </w:r>
                </w:p>
                <w:p>
                  <w:pPr>
                    <w:adjustRightInd w:val="0"/>
                    <w:snapToGrid w:val="0"/>
                    <w:rPr>
                      <w:color w:val="0000FF"/>
                      <w:szCs w:val="21"/>
                    </w:rPr>
                  </w:pPr>
                  <w:r>
                    <w:rPr>
                      <w:rFonts w:hint="eastAsia"/>
                      <w:color w:val="0000FF"/>
                      <w:szCs w:val="21"/>
                    </w:rPr>
                    <w:t>D、100mm厚P8抗渗混凝土一道；</w:t>
                  </w:r>
                </w:p>
                <w:p>
                  <w:pPr>
                    <w:adjustRightInd w:val="0"/>
                    <w:snapToGrid w:val="0"/>
                    <w:rPr>
                      <w:color w:val="0000FF"/>
                      <w:szCs w:val="21"/>
                    </w:rPr>
                  </w:pPr>
                  <w:r>
                    <w:rPr>
                      <w:rFonts w:hint="eastAsia"/>
                      <w:color w:val="0000FF"/>
                      <w:szCs w:val="21"/>
                    </w:rPr>
                    <w:t>E、20mm厚1:2防水砂浆找平；</w:t>
                  </w:r>
                </w:p>
                <w:p>
                  <w:pPr>
                    <w:adjustRightInd w:val="0"/>
                    <w:snapToGrid w:val="0"/>
                    <w:rPr>
                      <w:color w:val="0000FF"/>
                      <w:szCs w:val="21"/>
                    </w:rPr>
                  </w:pPr>
                  <w:r>
                    <w:rPr>
                      <w:rFonts w:hint="eastAsia"/>
                      <w:color w:val="0000FF"/>
                      <w:szCs w:val="21"/>
                    </w:rPr>
                    <w:t>F、环氧树脂一道，厚度不小于2mm。</w:t>
                  </w:r>
                </w:p>
                <w:p>
                  <w:pPr>
                    <w:adjustRightInd w:val="0"/>
                    <w:snapToGrid w:val="0"/>
                    <w:rPr>
                      <w:color w:val="0000FF"/>
                      <w:szCs w:val="21"/>
                    </w:rPr>
                  </w:pPr>
                  <w:r>
                    <w:rPr>
                      <w:rFonts w:hint="eastAsia"/>
                      <w:color w:val="0000FF"/>
                      <w:szCs w:val="21"/>
                    </w:rPr>
                    <w:t>②围堰内壁防渗措施：</w:t>
                  </w:r>
                </w:p>
                <w:p>
                  <w:pPr>
                    <w:adjustRightInd w:val="0"/>
                    <w:snapToGrid w:val="0"/>
                    <w:rPr>
                      <w:color w:val="0000FF"/>
                      <w:szCs w:val="21"/>
                    </w:rPr>
                  </w:pPr>
                  <w:r>
                    <w:rPr>
                      <w:rFonts w:hint="eastAsia"/>
                      <w:color w:val="0000FF"/>
                      <w:szCs w:val="21"/>
                    </w:rPr>
                    <w:t>A、50mm厚P8抗渗混凝土保护层1道；</w:t>
                  </w:r>
                </w:p>
                <w:p>
                  <w:pPr>
                    <w:adjustRightInd w:val="0"/>
                    <w:snapToGrid w:val="0"/>
                    <w:rPr>
                      <w:color w:val="0000FF"/>
                      <w:szCs w:val="21"/>
                    </w:rPr>
                  </w:pPr>
                  <w:r>
                    <w:rPr>
                      <w:rFonts w:hint="eastAsia"/>
                      <w:color w:val="0000FF"/>
                      <w:szCs w:val="21"/>
                    </w:rPr>
                    <w:t>B、20mm厚1:2防水砂浆找平；</w:t>
                  </w:r>
                </w:p>
                <w:p>
                  <w:pPr>
                    <w:adjustRightInd w:val="0"/>
                    <w:snapToGrid w:val="0"/>
                    <w:rPr>
                      <w:color w:val="0000FF"/>
                      <w:szCs w:val="21"/>
                    </w:rPr>
                  </w:pPr>
                  <w:r>
                    <w:rPr>
                      <w:rFonts w:hint="eastAsia"/>
                      <w:color w:val="0000FF"/>
                      <w:szCs w:val="21"/>
                    </w:rPr>
                    <w:t>C、环氧树脂一道，厚度不小于2mm。</w:t>
                  </w:r>
                </w:p>
              </w:tc>
              <w:tc>
                <w:tcPr>
                  <w:tcW w:w="714" w:type="dxa"/>
                  <w:vAlign w:val="center"/>
                </w:tcPr>
                <w:p>
                  <w:pPr>
                    <w:adjustRightInd w:val="0"/>
                    <w:snapToGrid w:val="0"/>
                    <w:jc w:val="center"/>
                    <w:rPr>
                      <w:color w:val="0000FF"/>
                      <w:szCs w:val="21"/>
                    </w:rPr>
                  </w:pPr>
                  <w:r>
                    <w:rPr>
                      <w:rFonts w:hint="eastAsia"/>
                      <w:color w:val="0000FF"/>
                      <w:szCs w:val="21"/>
                    </w:rPr>
                    <w:t>新建</w:t>
                  </w:r>
                </w:p>
              </w:tc>
            </w:tr>
            <w:bookmarkEnd w:id="23"/>
            <w:bookmarkEnd w:id="24"/>
          </w:tbl>
          <w:p>
            <w:pPr>
              <w:spacing w:line="360" w:lineRule="auto"/>
              <w:rPr>
                <w:rFonts w:ascii="黑体" w:hAnsi="黑体" w:eastAsia="黑体"/>
                <w:b/>
                <w:bCs/>
                <w:kern w:val="0"/>
                <w:sz w:val="24"/>
              </w:rPr>
            </w:pPr>
            <w:r>
              <w:rPr>
                <w:rFonts w:hint="eastAsia" w:ascii="黑体" w:hAnsi="黑体" w:eastAsia="黑体"/>
                <w:b/>
                <w:bCs/>
                <w:kern w:val="0"/>
                <w:sz w:val="24"/>
              </w:rPr>
              <w:t>（三）主要生产设备</w:t>
            </w:r>
          </w:p>
          <w:p>
            <w:pPr>
              <w:adjustRightInd w:val="0"/>
              <w:snapToGrid w:val="0"/>
              <w:spacing w:line="360" w:lineRule="auto"/>
              <w:ind w:firstLine="480" w:firstLineChars="200"/>
              <w:rPr>
                <w:sz w:val="24"/>
              </w:rPr>
            </w:pPr>
            <w:r>
              <w:rPr>
                <w:rFonts w:hint="eastAsia"/>
                <w:sz w:val="24"/>
              </w:rPr>
              <w:t>根据建设单位提供可研报告及资料清单，项目运营期主要生产设备如下：</w:t>
            </w:r>
          </w:p>
          <w:p>
            <w:pPr>
              <w:adjustRightInd w:val="0"/>
              <w:snapToGrid w:val="0"/>
              <w:jc w:val="center"/>
              <w:rPr>
                <w:b/>
                <w:sz w:val="24"/>
              </w:rPr>
            </w:pPr>
            <w:r>
              <w:rPr>
                <w:rFonts w:hint="eastAsia"/>
                <w:b/>
                <w:sz w:val="24"/>
              </w:rPr>
              <w:t>表2</w:t>
            </w:r>
            <w:r>
              <w:rPr>
                <w:b/>
                <w:sz w:val="24"/>
              </w:rPr>
              <w:t xml:space="preserve">.3-1  </w:t>
            </w:r>
            <w:r>
              <w:rPr>
                <w:rFonts w:hint="eastAsia"/>
                <w:b/>
                <w:sz w:val="24"/>
              </w:rPr>
              <w:t>主要生产设备及参数一览表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2655"/>
              <w:gridCol w:w="893"/>
              <w:gridCol w:w="2828"/>
              <w:gridCol w:w="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48" w:type="pct"/>
                  <w:vAlign w:val="center"/>
                </w:tcPr>
                <w:p>
                  <w:pPr>
                    <w:jc w:val="center"/>
                    <w:rPr>
                      <w:b/>
                      <w:bCs/>
                      <w:szCs w:val="21"/>
                    </w:rPr>
                  </w:pPr>
                  <w:r>
                    <w:rPr>
                      <w:b/>
                      <w:bCs/>
                      <w:szCs w:val="21"/>
                    </w:rPr>
                    <w:t>序号</w:t>
                  </w:r>
                </w:p>
              </w:tc>
              <w:tc>
                <w:tcPr>
                  <w:tcW w:w="1626" w:type="pct"/>
                  <w:vAlign w:val="center"/>
                </w:tcPr>
                <w:p>
                  <w:pPr>
                    <w:jc w:val="center"/>
                    <w:rPr>
                      <w:b/>
                      <w:bCs/>
                      <w:szCs w:val="21"/>
                    </w:rPr>
                  </w:pPr>
                  <w:r>
                    <w:rPr>
                      <w:b/>
                      <w:bCs/>
                      <w:szCs w:val="21"/>
                    </w:rPr>
                    <w:t>名称</w:t>
                  </w:r>
                </w:p>
              </w:tc>
              <w:tc>
                <w:tcPr>
                  <w:tcW w:w="547" w:type="pct"/>
                  <w:vAlign w:val="center"/>
                </w:tcPr>
                <w:p>
                  <w:pPr>
                    <w:jc w:val="center"/>
                    <w:rPr>
                      <w:b/>
                      <w:bCs/>
                      <w:szCs w:val="21"/>
                    </w:rPr>
                  </w:pPr>
                  <w:r>
                    <w:rPr>
                      <w:b/>
                      <w:bCs/>
                      <w:szCs w:val="21"/>
                    </w:rPr>
                    <w:t>数量</w:t>
                  </w:r>
                </w:p>
              </w:tc>
              <w:tc>
                <w:tcPr>
                  <w:tcW w:w="1732" w:type="pct"/>
                  <w:vAlign w:val="center"/>
                </w:tcPr>
                <w:p>
                  <w:pPr>
                    <w:jc w:val="center"/>
                    <w:rPr>
                      <w:b/>
                      <w:bCs/>
                      <w:szCs w:val="21"/>
                    </w:rPr>
                  </w:pPr>
                  <w:r>
                    <w:rPr>
                      <w:b/>
                      <w:bCs/>
                      <w:szCs w:val="21"/>
                    </w:rPr>
                    <w:t>尺寸/型号/设计产能</w:t>
                  </w:r>
                </w:p>
              </w:tc>
              <w:tc>
                <w:tcPr>
                  <w:tcW w:w="547" w:type="pct"/>
                  <w:vAlign w:val="center"/>
                </w:tcPr>
                <w:p>
                  <w:pPr>
                    <w:jc w:val="center"/>
                    <w:rPr>
                      <w:b/>
                      <w:bCs/>
                      <w:szCs w:val="21"/>
                    </w:rPr>
                  </w:pPr>
                  <w:r>
                    <w:rPr>
                      <w:b/>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48" w:type="pct"/>
                  <w:vAlign w:val="center"/>
                </w:tcPr>
                <w:p>
                  <w:pPr>
                    <w:jc w:val="center"/>
                    <w:rPr>
                      <w:b/>
                      <w:bCs/>
                      <w:szCs w:val="21"/>
                    </w:rPr>
                  </w:pPr>
                  <w:bookmarkStart w:id="25" w:name="_Hlk139565686"/>
                  <w:r>
                    <w:rPr>
                      <w:szCs w:val="21"/>
                    </w:rPr>
                    <w:t>1</w:t>
                  </w:r>
                </w:p>
              </w:tc>
              <w:tc>
                <w:tcPr>
                  <w:tcW w:w="1626" w:type="pct"/>
                  <w:vAlign w:val="center"/>
                </w:tcPr>
                <w:p>
                  <w:pPr>
                    <w:jc w:val="center"/>
                    <w:rPr>
                      <w:b/>
                      <w:bCs/>
                      <w:szCs w:val="21"/>
                    </w:rPr>
                  </w:pPr>
                  <w:r>
                    <w:rPr>
                      <w:rFonts w:hint="eastAsia"/>
                      <w:szCs w:val="21"/>
                    </w:rPr>
                    <w:t>三相异步电动机</w:t>
                  </w:r>
                </w:p>
              </w:tc>
              <w:tc>
                <w:tcPr>
                  <w:tcW w:w="547" w:type="pct"/>
                  <w:vAlign w:val="center"/>
                </w:tcPr>
                <w:p>
                  <w:pPr>
                    <w:jc w:val="center"/>
                    <w:rPr>
                      <w:b/>
                      <w:bCs/>
                      <w:szCs w:val="21"/>
                    </w:rPr>
                  </w:pPr>
                  <w:r>
                    <w:rPr>
                      <w:rFonts w:hint="eastAsia"/>
                      <w:b/>
                      <w:bCs/>
                      <w:szCs w:val="21"/>
                    </w:rPr>
                    <w:t>1</w:t>
                  </w:r>
                </w:p>
              </w:tc>
              <w:tc>
                <w:tcPr>
                  <w:tcW w:w="1732" w:type="pct"/>
                  <w:vAlign w:val="center"/>
                </w:tcPr>
                <w:p>
                  <w:pPr>
                    <w:jc w:val="center"/>
                    <w:rPr>
                      <w:b/>
                      <w:bCs/>
                      <w:szCs w:val="21"/>
                    </w:rPr>
                  </w:pPr>
                  <w:r>
                    <w:rPr>
                      <w:rFonts w:hint="eastAsia"/>
                      <w:szCs w:val="21"/>
                    </w:rPr>
                    <w:t>YE2-180M-4</w:t>
                  </w:r>
                </w:p>
              </w:tc>
              <w:tc>
                <w:tcPr>
                  <w:tcW w:w="547" w:type="pct"/>
                  <w:vAlign w:val="center"/>
                </w:tcPr>
                <w:p>
                  <w:pPr>
                    <w:jc w:val="center"/>
                    <w:rPr>
                      <w:bCs/>
                      <w:szCs w:val="21"/>
                    </w:rPr>
                  </w:pPr>
                  <w:r>
                    <w:rPr>
                      <w:rFonts w:hint="eastAsia"/>
                      <w:bCs/>
                      <w:szCs w:val="21"/>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48" w:type="pct"/>
                  <w:vAlign w:val="center"/>
                </w:tcPr>
                <w:p>
                  <w:pPr>
                    <w:jc w:val="center"/>
                    <w:rPr>
                      <w:szCs w:val="21"/>
                    </w:rPr>
                  </w:pPr>
                  <w:r>
                    <w:rPr>
                      <w:szCs w:val="21"/>
                    </w:rPr>
                    <w:t>2</w:t>
                  </w:r>
                </w:p>
              </w:tc>
              <w:tc>
                <w:tcPr>
                  <w:tcW w:w="1626" w:type="pct"/>
                  <w:vAlign w:val="center"/>
                </w:tcPr>
                <w:p>
                  <w:pPr>
                    <w:jc w:val="center"/>
                    <w:rPr>
                      <w:szCs w:val="21"/>
                    </w:rPr>
                  </w:pPr>
                  <w:r>
                    <w:rPr>
                      <w:rFonts w:hint="eastAsia"/>
                      <w:szCs w:val="21"/>
                    </w:rPr>
                    <w:t>振动给料机</w:t>
                  </w:r>
                </w:p>
              </w:tc>
              <w:tc>
                <w:tcPr>
                  <w:tcW w:w="547" w:type="pct"/>
                  <w:vAlign w:val="center"/>
                </w:tcPr>
                <w:p>
                  <w:pPr>
                    <w:jc w:val="center"/>
                    <w:rPr>
                      <w:szCs w:val="21"/>
                    </w:rPr>
                  </w:pPr>
                  <w:r>
                    <w:rPr>
                      <w:rFonts w:hint="eastAsia"/>
                      <w:szCs w:val="21"/>
                    </w:rPr>
                    <w:t>2</w:t>
                  </w:r>
                </w:p>
              </w:tc>
              <w:tc>
                <w:tcPr>
                  <w:tcW w:w="1732" w:type="pct"/>
                  <w:vAlign w:val="center"/>
                </w:tcPr>
                <w:p>
                  <w:pPr>
                    <w:jc w:val="center"/>
                    <w:rPr>
                      <w:szCs w:val="21"/>
                    </w:rPr>
                  </w:pPr>
                  <w:r>
                    <w:rPr>
                      <w:rFonts w:hint="eastAsia"/>
                      <w:szCs w:val="21"/>
                    </w:rPr>
                    <w:t>ZSW3896</w:t>
                  </w:r>
                </w:p>
              </w:tc>
              <w:tc>
                <w:tcPr>
                  <w:tcW w:w="547" w:type="pct"/>
                  <w:vAlign w:val="center"/>
                </w:tcPr>
                <w:p>
                  <w:pPr>
                    <w:jc w:val="center"/>
                    <w:rPr>
                      <w:szCs w:val="21"/>
                    </w:rPr>
                  </w:pPr>
                  <w:r>
                    <w:rPr>
                      <w:rFonts w:hint="eastAsia"/>
                      <w:bCs/>
                      <w:szCs w:val="21"/>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48" w:type="pct"/>
                  <w:vAlign w:val="center"/>
                </w:tcPr>
                <w:p>
                  <w:pPr>
                    <w:jc w:val="center"/>
                    <w:rPr>
                      <w:szCs w:val="21"/>
                    </w:rPr>
                  </w:pPr>
                  <w:r>
                    <w:rPr>
                      <w:szCs w:val="21"/>
                    </w:rPr>
                    <w:t>3</w:t>
                  </w:r>
                </w:p>
              </w:tc>
              <w:tc>
                <w:tcPr>
                  <w:tcW w:w="1626" w:type="pct"/>
                  <w:vAlign w:val="center"/>
                </w:tcPr>
                <w:p>
                  <w:pPr>
                    <w:jc w:val="center"/>
                    <w:rPr>
                      <w:szCs w:val="21"/>
                    </w:rPr>
                  </w:pPr>
                  <w:r>
                    <w:rPr>
                      <w:rFonts w:hint="eastAsia"/>
                      <w:szCs w:val="21"/>
                    </w:rPr>
                    <w:t>颚式破碎机</w:t>
                  </w:r>
                </w:p>
              </w:tc>
              <w:tc>
                <w:tcPr>
                  <w:tcW w:w="547" w:type="pct"/>
                  <w:vAlign w:val="center"/>
                </w:tcPr>
                <w:p>
                  <w:pPr>
                    <w:jc w:val="center"/>
                    <w:rPr>
                      <w:szCs w:val="21"/>
                    </w:rPr>
                  </w:pPr>
                  <w:r>
                    <w:rPr>
                      <w:rFonts w:hint="eastAsia"/>
                      <w:szCs w:val="21"/>
                    </w:rPr>
                    <w:t>1</w:t>
                  </w:r>
                </w:p>
              </w:tc>
              <w:tc>
                <w:tcPr>
                  <w:tcW w:w="1732" w:type="pct"/>
                  <w:vAlign w:val="center"/>
                </w:tcPr>
                <w:p>
                  <w:pPr>
                    <w:jc w:val="center"/>
                    <w:rPr>
                      <w:szCs w:val="21"/>
                    </w:rPr>
                  </w:pPr>
                  <w:r>
                    <w:rPr>
                      <w:rFonts w:hint="eastAsia"/>
                      <w:snapToGrid w:val="0"/>
                      <w:spacing w:val="-2"/>
                      <w:szCs w:val="21"/>
                    </w:rPr>
                    <w:t>/</w:t>
                  </w:r>
                </w:p>
              </w:tc>
              <w:tc>
                <w:tcPr>
                  <w:tcW w:w="547" w:type="pct"/>
                  <w:vAlign w:val="center"/>
                </w:tcPr>
                <w:p>
                  <w:pPr>
                    <w:jc w:val="center"/>
                    <w:rPr>
                      <w:szCs w:val="21"/>
                    </w:rPr>
                  </w:pPr>
                  <w:r>
                    <w:rPr>
                      <w:rFonts w:hint="eastAsia"/>
                      <w:bCs/>
                      <w:szCs w:val="21"/>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48" w:type="pct"/>
                  <w:vAlign w:val="center"/>
                </w:tcPr>
                <w:p>
                  <w:pPr>
                    <w:jc w:val="center"/>
                    <w:rPr>
                      <w:szCs w:val="21"/>
                    </w:rPr>
                  </w:pPr>
                  <w:r>
                    <w:rPr>
                      <w:szCs w:val="21"/>
                    </w:rPr>
                    <w:t>4</w:t>
                  </w:r>
                </w:p>
              </w:tc>
              <w:tc>
                <w:tcPr>
                  <w:tcW w:w="1626" w:type="pct"/>
                  <w:vAlign w:val="center"/>
                </w:tcPr>
                <w:p>
                  <w:pPr>
                    <w:jc w:val="center"/>
                    <w:rPr>
                      <w:szCs w:val="21"/>
                    </w:rPr>
                  </w:pPr>
                  <w:r>
                    <w:rPr>
                      <w:rFonts w:hint="eastAsia"/>
                      <w:szCs w:val="21"/>
                    </w:rPr>
                    <w:t>圆锥破碎机</w:t>
                  </w:r>
                </w:p>
              </w:tc>
              <w:tc>
                <w:tcPr>
                  <w:tcW w:w="547" w:type="pct"/>
                  <w:vAlign w:val="center"/>
                </w:tcPr>
                <w:p>
                  <w:pPr>
                    <w:jc w:val="center"/>
                    <w:rPr>
                      <w:snapToGrid w:val="0"/>
                      <w:spacing w:val="-2"/>
                      <w:szCs w:val="21"/>
                    </w:rPr>
                  </w:pPr>
                  <w:r>
                    <w:rPr>
                      <w:rFonts w:hint="eastAsia"/>
                      <w:snapToGrid w:val="0"/>
                      <w:spacing w:val="-2"/>
                      <w:szCs w:val="21"/>
                    </w:rPr>
                    <w:t>1</w:t>
                  </w:r>
                </w:p>
              </w:tc>
              <w:tc>
                <w:tcPr>
                  <w:tcW w:w="1732" w:type="pct"/>
                  <w:vAlign w:val="center"/>
                </w:tcPr>
                <w:p>
                  <w:pPr>
                    <w:jc w:val="center"/>
                    <w:rPr>
                      <w:snapToGrid w:val="0"/>
                      <w:spacing w:val="-2"/>
                      <w:szCs w:val="21"/>
                    </w:rPr>
                  </w:pPr>
                  <w:r>
                    <w:rPr>
                      <w:rFonts w:hint="eastAsia"/>
                      <w:snapToGrid w:val="0"/>
                      <w:spacing w:val="-2"/>
                      <w:szCs w:val="21"/>
                    </w:rPr>
                    <w:t>/</w:t>
                  </w:r>
                </w:p>
              </w:tc>
              <w:tc>
                <w:tcPr>
                  <w:tcW w:w="547" w:type="pct"/>
                  <w:vAlign w:val="center"/>
                </w:tcPr>
                <w:p>
                  <w:pPr>
                    <w:jc w:val="center"/>
                    <w:rPr>
                      <w:szCs w:val="21"/>
                    </w:rPr>
                  </w:pPr>
                  <w:r>
                    <w:rPr>
                      <w:rFonts w:hint="eastAsia"/>
                      <w:bCs/>
                      <w:szCs w:val="21"/>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48" w:type="pct"/>
                  <w:vAlign w:val="center"/>
                </w:tcPr>
                <w:p>
                  <w:pPr>
                    <w:jc w:val="center"/>
                    <w:rPr>
                      <w:szCs w:val="21"/>
                    </w:rPr>
                  </w:pPr>
                  <w:r>
                    <w:rPr>
                      <w:szCs w:val="21"/>
                    </w:rPr>
                    <w:t>5</w:t>
                  </w:r>
                </w:p>
              </w:tc>
              <w:tc>
                <w:tcPr>
                  <w:tcW w:w="1626" w:type="pct"/>
                  <w:vAlign w:val="center"/>
                </w:tcPr>
                <w:p>
                  <w:pPr>
                    <w:jc w:val="center"/>
                    <w:rPr>
                      <w:szCs w:val="21"/>
                    </w:rPr>
                  </w:pPr>
                  <w:r>
                    <w:rPr>
                      <w:rFonts w:hint="eastAsia"/>
                      <w:szCs w:val="21"/>
                    </w:rPr>
                    <w:t>振动筛</w:t>
                  </w:r>
                </w:p>
              </w:tc>
              <w:tc>
                <w:tcPr>
                  <w:tcW w:w="547" w:type="pct"/>
                  <w:vAlign w:val="center"/>
                </w:tcPr>
                <w:p>
                  <w:pPr>
                    <w:jc w:val="center"/>
                    <w:rPr>
                      <w:snapToGrid w:val="0"/>
                      <w:spacing w:val="-2"/>
                      <w:szCs w:val="21"/>
                    </w:rPr>
                  </w:pPr>
                  <w:r>
                    <w:rPr>
                      <w:rFonts w:hint="eastAsia"/>
                      <w:snapToGrid w:val="0"/>
                      <w:spacing w:val="-2"/>
                      <w:szCs w:val="21"/>
                    </w:rPr>
                    <w:t>2</w:t>
                  </w:r>
                </w:p>
              </w:tc>
              <w:tc>
                <w:tcPr>
                  <w:tcW w:w="1732" w:type="pct"/>
                  <w:vAlign w:val="center"/>
                </w:tcPr>
                <w:p>
                  <w:pPr>
                    <w:jc w:val="center"/>
                    <w:rPr>
                      <w:snapToGrid w:val="0"/>
                      <w:spacing w:val="-2"/>
                      <w:szCs w:val="21"/>
                    </w:rPr>
                  </w:pPr>
                  <w:r>
                    <w:rPr>
                      <w:rFonts w:hint="eastAsia"/>
                      <w:snapToGrid w:val="0"/>
                      <w:spacing w:val="-2"/>
                      <w:szCs w:val="21"/>
                    </w:rPr>
                    <w:t>/</w:t>
                  </w:r>
                </w:p>
              </w:tc>
              <w:tc>
                <w:tcPr>
                  <w:tcW w:w="547" w:type="pct"/>
                  <w:vAlign w:val="center"/>
                </w:tcPr>
                <w:p>
                  <w:pPr>
                    <w:jc w:val="center"/>
                    <w:rPr>
                      <w:szCs w:val="21"/>
                    </w:rPr>
                  </w:pPr>
                  <w:r>
                    <w:rPr>
                      <w:rFonts w:hint="eastAsia"/>
                      <w:bCs/>
                      <w:szCs w:val="21"/>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48" w:type="pct"/>
                  <w:vAlign w:val="center"/>
                </w:tcPr>
                <w:p>
                  <w:pPr>
                    <w:jc w:val="center"/>
                    <w:rPr>
                      <w:szCs w:val="21"/>
                    </w:rPr>
                  </w:pPr>
                  <w:r>
                    <w:rPr>
                      <w:szCs w:val="21"/>
                    </w:rPr>
                    <w:t>6</w:t>
                  </w:r>
                </w:p>
              </w:tc>
              <w:tc>
                <w:tcPr>
                  <w:tcW w:w="1626" w:type="pct"/>
                  <w:vAlign w:val="center"/>
                </w:tcPr>
                <w:p>
                  <w:pPr>
                    <w:jc w:val="center"/>
                    <w:rPr>
                      <w:szCs w:val="21"/>
                    </w:rPr>
                  </w:pPr>
                  <w:r>
                    <w:rPr>
                      <w:rFonts w:hint="eastAsia"/>
                      <w:szCs w:val="21"/>
                    </w:rPr>
                    <w:t>高效制砂机</w:t>
                  </w:r>
                </w:p>
              </w:tc>
              <w:tc>
                <w:tcPr>
                  <w:tcW w:w="547" w:type="pct"/>
                  <w:vAlign w:val="center"/>
                </w:tcPr>
                <w:p>
                  <w:pPr>
                    <w:jc w:val="center"/>
                    <w:rPr>
                      <w:snapToGrid w:val="0"/>
                      <w:spacing w:val="-2"/>
                      <w:szCs w:val="21"/>
                    </w:rPr>
                  </w:pPr>
                  <w:r>
                    <w:rPr>
                      <w:rFonts w:hint="eastAsia"/>
                      <w:snapToGrid w:val="0"/>
                      <w:spacing w:val="-2"/>
                      <w:szCs w:val="21"/>
                    </w:rPr>
                    <w:t>1</w:t>
                  </w:r>
                </w:p>
              </w:tc>
              <w:tc>
                <w:tcPr>
                  <w:tcW w:w="1732" w:type="pct"/>
                  <w:vAlign w:val="center"/>
                </w:tcPr>
                <w:p>
                  <w:pPr>
                    <w:jc w:val="center"/>
                    <w:rPr>
                      <w:snapToGrid w:val="0"/>
                      <w:spacing w:val="-2"/>
                      <w:szCs w:val="21"/>
                    </w:rPr>
                  </w:pPr>
                  <w:r>
                    <w:rPr>
                      <w:rFonts w:hint="eastAsia"/>
                      <w:snapToGrid w:val="0"/>
                      <w:spacing w:val="-2"/>
                      <w:szCs w:val="21"/>
                    </w:rPr>
                    <w:t>/</w:t>
                  </w:r>
                </w:p>
              </w:tc>
              <w:tc>
                <w:tcPr>
                  <w:tcW w:w="547" w:type="pct"/>
                  <w:vAlign w:val="center"/>
                </w:tcPr>
                <w:p>
                  <w:pPr>
                    <w:jc w:val="center"/>
                    <w:rPr>
                      <w:szCs w:val="21"/>
                    </w:rPr>
                  </w:pPr>
                  <w:r>
                    <w:rPr>
                      <w:rFonts w:hint="eastAsia"/>
                      <w:bCs/>
                      <w:szCs w:val="21"/>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48" w:type="pct"/>
                  <w:vAlign w:val="center"/>
                </w:tcPr>
                <w:p>
                  <w:pPr>
                    <w:jc w:val="center"/>
                    <w:rPr>
                      <w:szCs w:val="21"/>
                    </w:rPr>
                  </w:pPr>
                  <w:r>
                    <w:rPr>
                      <w:szCs w:val="21"/>
                    </w:rPr>
                    <w:t>7</w:t>
                  </w:r>
                </w:p>
              </w:tc>
              <w:tc>
                <w:tcPr>
                  <w:tcW w:w="1626" w:type="pct"/>
                  <w:vAlign w:val="center"/>
                </w:tcPr>
                <w:p>
                  <w:pPr>
                    <w:jc w:val="center"/>
                    <w:rPr>
                      <w:szCs w:val="21"/>
                    </w:rPr>
                  </w:pPr>
                  <w:r>
                    <w:rPr>
                      <w:rFonts w:hint="eastAsia"/>
                      <w:szCs w:val="21"/>
                    </w:rPr>
                    <w:t>洗砂机</w:t>
                  </w:r>
                </w:p>
              </w:tc>
              <w:tc>
                <w:tcPr>
                  <w:tcW w:w="547" w:type="pct"/>
                  <w:vAlign w:val="center"/>
                </w:tcPr>
                <w:p>
                  <w:pPr>
                    <w:jc w:val="center"/>
                    <w:rPr>
                      <w:snapToGrid w:val="0"/>
                      <w:spacing w:val="-2"/>
                      <w:szCs w:val="21"/>
                    </w:rPr>
                  </w:pPr>
                  <w:r>
                    <w:rPr>
                      <w:szCs w:val="21"/>
                    </w:rPr>
                    <w:t>1</w:t>
                  </w:r>
                </w:p>
              </w:tc>
              <w:tc>
                <w:tcPr>
                  <w:tcW w:w="1732" w:type="pct"/>
                  <w:vAlign w:val="center"/>
                </w:tcPr>
                <w:p>
                  <w:pPr>
                    <w:jc w:val="center"/>
                    <w:rPr>
                      <w:snapToGrid w:val="0"/>
                      <w:spacing w:val="-2"/>
                      <w:szCs w:val="21"/>
                    </w:rPr>
                  </w:pPr>
                  <w:r>
                    <w:rPr>
                      <w:rFonts w:hint="eastAsia"/>
                      <w:snapToGrid w:val="0"/>
                      <w:spacing w:val="-2"/>
                      <w:szCs w:val="21"/>
                    </w:rPr>
                    <w:t>/</w:t>
                  </w:r>
                </w:p>
              </w:tc>
              <w:tc>
                <w:tcPr>
                  <w:tcW w:w="547" w:type="pct"/>
                  <w:vAlign w:val="center"/>
                </w:tcPr>
                <w:p>
                  <w:pPr>
                    <w:jc w:val="center"/>
                    <w:rPr>
                      <w:szCs w:val="21"/>
                    </w:rPr>
                  </w:pPr>
                  <w:r>
                    <w:rPr>
                      <w:rFonts w:hint="eastAsia"/>
                      <w:bCs/>
                      <w:szCs w:val="21"/>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48" w:type="pct"/>
                  <w:vAlign w:val="center"/>
                </w:tcPr>
                <w:p>
                  <w:pPr>
                    <w:jc w:val="center"/>
                    <w:rPr>
                      <w:szCs w:val="21"/>
                    </w:rPr>
                  </w:pPr>
                  <w:r>
                    <w:rPr>
                      <w:szCs w:val="21"/>
                    </w:rPr>
                    <w:t>8</w:t>
                  </w:r>
                </w:p>
              </w:tc>
              <w:tc>
                <w:tcPr>
                  <w:tcW w:w="1626" w:type="pct"/>
                  <w:vAlign w:val="center"/>
                </w:tcPr>
                <w:p>
                  <w:pPr>
                    <w:jc w:val="center"/>
                    <w:rPr>
                      <w:szCs w:val="21"/>
                    </w:rPr>
                  </w:pPr>
                  <w:r>
                    <w:rPr>
                      <w:rFonts w:hint="eastAsia"/>
                      <w:szCs w:val="21"/>
                    </w:rPr>
                    <w:t>装载机</w:t>
                  </w:r>
                </w:p>
              </w:tc>
              <w:tc>
                <w:tcPr>
                  <w:tcW w:w="547" w:type="pct"/>
                  <w:vAlign w:val="center"/>
                </w:tcPr>
                <w:p>
                  <w:pPr>
                    <w:jc w:val="center"/>
                    <w:rPr>
                      <w:szCs w:val="21"/>
                    </w:rPr>
                  </w:pPr>
                  <w:r>
                    <w:rPr>
                      <w:rFonts w:hint="eastAsia"/>
                      <w:szCs w:val="21"/>
                    </w:rPr>
                    <w:t>2</w:t>
                  </w:r>
                </w:p>
              </w:tc>
              <w:tc>
                <w:tcPr>
                  <w:tcW w:w="1732" w:type="pct"/>
                  <w:vAlign w:val="center"/>
                </w:tcPr>
                <w:p>
                  <w:pPr>
                    <w:jc w:val="center"/>
                    <w:rPr>
                      <w:szCs w:val="21"/>
                    </w:rPr>
                  </w:pPr>
                  <w:r>
                    <w:rPr>
                      <w:rFonts w:hint="eastAsia"/>
                      <w:szCs w:val="21"/>
                    </w:rPr>
                    <w:t>ZL50C</w:t>
                  </w:r>
                </w:p>
              </w:tc>
              <w:tc>
                <w:tcPr>
                  <w:tcW w:w="547" w:type="pct"/>
                  <w:vAlign w:val="center"/>
                </w:tcPr>
                <w:p>
                  <w:pPr>
                    <w:jc w:val="center"/>
                    <w:rPr>
                      <w:szCs w:val="21"/>
                    </w:rPr>
                  </w:pPr>
                  <w:r>
                    <w:rPr>
                      <w:rFonts w:hint="eastAsia"/>
                      <w:bCs/>
                      <w:szCs w:val="21"/>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48" w:type="pct"/>
                  <w:vAlign w:val="center"/>
                </w:tcPr>
                <w:p>
                  <w:pPr>
                    <w:jc w:val="center"/>
                    <w:rPr>
                      <w:szCs w:val="21"/>
                    </w:rPr>
                  </w:pPr>
                  <w:r>
                    <w:rPr>
                      <w:szCs w:val="21"/>
                    </w:rPr>
                    <w:t>9</w:t>
                  </w:r>
                </w:p>
              </w:tc>
              <w:tc>
                <w:tcPr>
                  <w:tcW w:w="1626" w:type="pct"/>
                  <w:vAlign w:val="center"/>
                </w:tcPr>
                <w:p>
                  <w:pPr>
                    <w:jc w:val="center"/>
                    <w:rPr>
                      <w:szCs w:val="21"/>
                    </w:rPr>
                  </w:pPr>
                  <w:r>
                    <w:rPr>
                      <w:rFonts w:hint="eastAsia"/>
                      <w:szCs w:val="21"/>
                    </w:rPr>
                    <w:t>运输车</w:t>
                  </w:r>
                </w:p>
              </w:tc>
              <w:tc>
                <w:tcPr>
                  <w:tcW w:w="547" w:type="pct"/>
                  <w:vAlign w:val="center"/>
                </w:tcPr>
                <w:p>
                  <w:pPr>
                    <w:jc w:val="center"/>
                    <w:rPr>
                      <w:szCs w:val="21"/>
                    </w:rPr>
                  </w:pPr>
                  <w:r>
                    <w:rPr>
                      <w:szCs w:val="21"/>
                    </w:rPr>
                    <w:t>2</w:t>
                  </w:r>
                </w:p>
              </w:tc>
              <w:tc>
                <w:tcPr>
                  <w:tcW w:w="1732" w:type="pct"/>
                  <w:vAlign w:val="center"/>
                </w:tcPr>
                <w:p>
                  <w:pPr>
                    <w:jc w:val="center"/>
                    <w:rPr>
                      <w:szCs w:val="21"/>
                    </w:rPr>
                  </w:pPr>
                  <w:r>
                    <w:rPr>
                      <w:szCs w:val="21"/>
                    </w:rPr>
                    <w:t>50t</w:t>
                  </w:r>
                </w:p>
              </w:tc>
              <w:tc>
                <w:tcPr>
                  <w:tcW w:w="547" w:type="pct"/>
                  <w:vAlign w:val="center"/>
                </w:tcPr>
                <w:p>
                  <w:pPr>
                    <w:jc w:val="center"/>
                    <w:rPr>
                      <w:szCs w:val="21"/>
                    </w:rPr>
                  </w:pPr>
                  <w:r>
                    <w:rPr>
                      <w:rFonts w:hint="eastAsia"/>
                      <w:bCs/>
                      <w:szCs w:val="21"/>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48" w:type="pct"/>
                  <w:vAlign w:val="center"/>
                </w:tcPr>
                <w:p>
                  <w:pPr>
                    <w:jc w:val="center"/>
                    <w:rPr>
                      <w:szCs w:val="21"/>
                    </w:rPr>
                  </w:pPr>
                  <w:r>
                    <w:rPr>
                      <w:szCs w:val="21"/>
                    </w:rPr>
                    <w:t>10</w:t>
                  </w:r>
                </w:p>
              </w:tc>
              <w:tc>
                <w:tcPr>
                  <w:tcW w:w="1626" w:type="pct"/>
                  <w:vAlign w:val="center"/>
                </w:tcPr>
                <w:p>
                  <w:pPr>
                    <w:jc w:val="center"/>
                    <w:rPr>
                      <w:szCs w:val="21"/>
                    </w:rPr>
                  </w:pPr>
                  <w:r>
                    <w:rPr>
                      <w:rFonts w:hint="eastAsia"/>
                      <w:szCs w:val="21"/>
                    </w:rPr>
                    <w:t>皮带机</w:t>
                  </w:r>
                </w:p>
              </w:tc>
              <w:tc>
                <w:tcPr>
                  <w:tcW w:w="547" w:type="pct"/>
                  <w:vAlign w:val="center"/>
                </w:tcPr>
                <w:p>
                  <w:pPr>
                    <w:jc w:val="center"/>
                    <w:rPr>
                      <w:szCs w:val="21"/>
                    </w:rPr>
                  </w:pPr>
                  <w:r>
                    <w:rPr>
                      <w:rFonts w:hint="eastAsia"/>
                      <w:szCs w:val="21"/>
                    </w:rPr>
                    <w:t>2</w:t>
                  </w:r>
                </w:p>
              </w:tc>
              <w:tc>
                <w:tcPr>
                  <w:tcW w:w="1732" w:type="pct"/>
                  <w:vAlign w:val="center"/>
                </w:tcPr>
                <w:p>
                  <w:pPr>
                    <w:jc w:val="center"/>
                    <w:rPr>
                      <w:szCs w:val="21"/>
                    </w:rPr>
                  </w:pPr>
                  <w:r>
                    <w:rPr>
                      <w:rFonts w:hint="eastAsia"/>
                      <w:szCs w:val="21"/>
                    </w:rPr>
                    <w:t>B650L=31.5m11°</w:t>
                  </w:r>
                </w:p>
              </w:tc>
              <w:tc>
                <w:tcPr>
                  <w:tcW w:w="547" w:type="pct"/>
                  <w:vAlign w:val="center"/>
                </w:tcPr>
                <w:p>
                  <w:pPr>
                    <w:jc w:val="center"/>
                    <w:rPr>
                      <w:szCs w:val="21"/>
                    </w:rPr>
                  </w:pPr>
                  <w:r>
                    <w:rPr>
                      <w:rFonts w:hint="eastAsia"/>
                      <w:bCs/>
                      <w:szCs w:val="21"/>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48" w:type="pct"/>
                  <w:vAlign w:val="center"/>
                </w:tcPr>
                <w:p>
                  <w:pPr>
                    <w:jc w:val="center"/>
                    <w:rPr>
                      <w:szCs w:val="21"/>
                    </w:rPr>
                  </w:pPr>
                  <w:r>
                    <w:rPr>
                      <w:rFonts w:hint="eastAsia"/>
                      <w:szCs w:val="21"/>
                    </w:rPr>
                    <w:t>1</w:t>
                  </w:r>
                  <w:r>
                    <w:rPr>
                      <w:szCs w:val="21"/>
                    </w:rPr>
                    <w:t>1</w:t>
                  </w:r>
                </w:p>
              </w:tc>
              <w:tc>
                <w:tcPr>
                  <w:tcW w:w="1626" w:type="pct"/>
                  <w:vAlign w:val="center"/>
                </w:tcPr>
                <w:p>
                  <w:pPr>
                    <w:jc w:val="center"/>
                    <w:rPr>
                      <w:szCs w:val="21"/>
                    </w:rPr>
                  </w:pPr>
                  <w:r>
                    <w:rPr>
                      <w:rFonts w:hint="eastAsia"/>
                      <w:szCs w:val="21"/>
                    </w:rPr>
                    <w:t>皮带机</w:t>
                  </w:r>
                </w:p>
              </w:tc>
              <w:tc>
                <w:tcPr>
                  <w:tcW w:w="547" w:type="pct"/>
                  <w:vAlign w:val="center"/>
                </w:tcPr>
                <w:p>
                  <w:pPr>
                    <w:jc w:val="center"/>
                    <w:rPr>
                      <w:szCs w:val="21"/>
                    </w:rPr>
                  </w:pPr>
                  <w:r>
                    <w:rPr>
                      <w:rFonts w:hint="eastAsia"/>
                      <w:szCs w:val="21"/>
                    </w:rPr>
                    <w:t>2</w:t>
                  </w:r>
                </w:p>
              </w:tc>
              <w:tc>
                <w:tcPr>
                  <w:tcW w:w="1732" w:type="pct"/>
                  <w:vAlign w:val="center"/>
                </w:tcPr>
                <w:p>
                  <w:pPr>
                    <w:jc w:val="center"/>
                    <w:rPr>
                      <w:szCs w:val="21"/>
                    </w:rPr>
                  </w:pPr>
                  <w:r>
                    <w:rPr>
                      <w:rFonts w:hint="eastAsia"/>
                      <w:szCs w:val="21"/>
                    </w:rPr>
                    <w:t>B650L=31.5m16°</w:t>
                  </w:r>
                </w:p>
              </w:tc>
              <w:tc>
                <w:tcPr>
                  <w:tcW w:w="547" w:type="pct"/>
                  <w:vAlign w:val="center"/>
                </w:tcPr>
                <w:p>
                  <w:pPr>
                    <w:jc w:val="center"/>
                    <w:rPr>
                      <w:szCs w:val="21"/>
                    </w:rPr>
                  </w:pPr>
                  <w:r>
                    <w:rPr>
                      <w:rFonts w:hint="eastAsia"/>
                      <w:bCs/>
                      <w:szCs w:val="21"/>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48" w:type="pct"/>
                  <w:vAlign w:val="center"/>
                </w:tcPr>
                <w:p>
                  <w:pPr>
                    <w:jc w:val="center"/>
                    <w:rPr>
                      <w:szCs w:val="21"/>
                    </w:rPr>
                  </w:pPr>
                  <w:r>
                    <w:rPr>
                      <w:rFonts w:hint="eastAsia"/>
                      <w:szCs w:val="21"/>
                    </w:rPr>
                    <w:t>1</w:t>
                  </w:r>
                  <w:r>
                    <w:rPr>
                      <w:szCs w:val="21"/>
                    </w:rPr>
                    <w:t>2</w:t>
                  </w:r>
                </w:p>
              </w:tc>
              <w:tc>
                <w:tcPr>
                  <w:tcW w:w="1626" w:type="pct"/>
                  <w:vAlign w:val="center"/>
                </w:tcPr>
                <w:p>
                  <w:pPr>
                    <w:jc w:val="center"/>
                    <w:rPr>
                      <w:szCs w:val="21"/>
                    </w:rPr>
                  </w:pPr>
                  <w:r>
                    <w:rPr>
                      <w:rFonts w:hint="eastAsia"/>
                      <w:szCs w:val="21"/>
                    </w:rPr>
                    <w:t>集中控制柜及电控</w:t>
                  </w:r>
                </w:p>
              </w:tc>
              <w:tc>
                <w:tcPr>
                  <w:tcW w:w="547" w:type="pct"/>
                  <w:vAlign w:val="center"/>
                </w:tcPr>
                <w:p>
                  <w:pPr>
                    <w:jc w:val="center"/>
                    <w:rPr>
                      <w:szCs w:val="21"/>
                    </w:rPr>
                  </w:pPr>
                  <w:r>
                    <w:rPr>
                      <w:rFonts w:hint="eastAsia"/>
                      <w:szCs w:val="21"/>
                    </w:rPr>
                    <w:t>1</w:t>
                  </w:r>
                </w:p>
              </w:tc>
              <w:tc>
                <w:tcPr>
                  <w:tcW w:w="1732" w:type="pct"/>
                  <w:vAlign w:val="center"/>
                </w:tcPr>
                <w:p>
                  <w:pPr>
                    <w:jc w:val="center"/>
                    <w:rPr>
                      <w:szCs w:val="21"/>
                    </w:rPr>
                  </w:pPr>
                  <w:r>
                    <w:rPr>
                      <w:rFonts w:hint="eastAsia"/>
                      <w:szCs w:val="21"/>
                    </w:rPr>
                    <w:t>/</w:t>
                  </w:r>
                </w:p>
              </w:tc>
              <w:tc>
                <w:tcPr>
                  <w:tcW w:w="547" w:type="pct"/>
                  <w:vAlign w:val="center"/>
                </w:tcPr>
                <w:p>
                  <w:pPr>
                    <w:jc w:val="center"/>
                    <w:rPr>
                      <w:szCs w:val="21"/>
                    </w:rPr>
                  </w:pPr>
                  <w:r>
                    <w:rPr>
                      <w:rFonts w:hint="eastAsia"/>
                      <w:bCs/>
                      <w:szCs w:val="21"/>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48" w:type="pct"/>
                  <w:vAlign w:val="center"/>
                </w:tcPr>
                <w:p>
                  <w:pPr>
                    <w:jc w:val="center"/>
                    <w:rPr>
                      <w:szCs w:val="21"/>
                    </w:rPr>
                  </w:pPr>
                  <w:r>
                    <w:rPr>
                      <w:rFonts w:hint="eastAsia"/>
                      <w:szCs w:val="21"/>
                    </w:rPr>
                    <w:t>1</w:t>
                  </w:r>
                  <w:r>
                    <w:rPr>
                      <w:szCs w:val="21"/>
                    </w:rPr>
                    <w:t>3</w:t>
                  </w:r>
                </w:p>
              </w:tc>
              <w:tc>
                <w:tcPr>
                  <w:tcW w:w="1626" w:type="pct"/>
                  <w:vAlign w:val="center"/>
                </w:tcPr>
                <w:p>
                  <w:pPr>
                    <w:jc w:val="center"/>
                    <w:rPr>
                      <w:szCs w:val="21"/>
                    </w:rPr>
                  </w:pPr>
                  <w:r>
                    <w:rPr>
                      <w:rFonts w:hint="eastAsia"/>
                      <w:szCs w:val="21"/>
                    </w:rPr>
                    <w:t>雾炮机</w:t>
                  </w:r>
                </w:p>
              </w:tc>
              <w:tc>
                <w:tcPr>
                  <w:tcW w:w="547" w:type="pct"/>
                  <w:vAlign w:val="center"/>
                </w:tcPr>
                <w:p>
                  <w:pPr>
                    <w:jc w:val="center"/>
                    <w:rPr>
                      <w:szCs w:val="21"/>
                    </w:rPr>
                  </w:pPr>
                  <w:r>
                    <w:rPr>
                      <w:rFonts w:hint="eastAsia"/>
                      <w:szCs w:val="21"/>
                    </w:rPr>
                    <w:t>1</w:t>
                  </w:r>
                </w:p>
              </w:tc>
              <w:tc>
                <w:tcPr>
                  <w:tcW w:w="1732" w:type="pct"/>
                  <w:vAlign w:val="center"/>
                </w:tcPr>
                <w:p>
                  <w:pPr>
                    <w:jc w:val="center"/>
                    <w:rPr>
                      <w:szCs w:val="21"/>
                    </w:rPr>
                  </w:pPr>
                  <w:r>
                    <w:rPr>
                      <w:rFonts w:hint="eastAsia"/>
                      <w:szCs w:val="21"/>
                    </w:rPr>
                    <w:t>/</w:t>
                  </w:r>
                </w:p>
              </w:tc>
              <w:tc>
                <w:tcPr>
                  <w:tcW w:w="547" w:type="pct"/>
                  <w:vAlign w:val="center"/>
                </w:tcPr>
                <w:p>
                  <w:pPr>
                    <w:jc w:val="center"/>
                    <w:rPr>
                      <w:szCs w:val="21"/>
                    </w:rPr>
                  </w:pPr>
                  <w:r>
                    <w:rPr>
                      <w:rFonts w:hint="eastAsia"/>
                      <w:bCs/>
                      <w:szCs w:val="21"/>
                    </w:rPr>
                    <w:t>新增</w:t>
                  </w:r>
                </w:p>
              </w:tc>
            </w:tr>
            <w:bookmarkEnd w:id="25"/>
          </w:tbl>
          <w:p>
            <w:pPr>
              <w:spacing w:line="360" w:lineRule="auto"/>
              <w:rPr>
                <w:rFonts w:ascii="黑体" w:hAnsi="黑体" w:eastAsia="黑体"/>
                <w:b/>
                <w:bCs/>
                <w:kern w:val="0"/>
                <w:sz w:val="24"/>
              </w:rPr>
            </w:pPr>
            <w:r>
              <w:rPr>
                <w:rFonts w:hint="eastAsia" w:ascii="黑体" w:hAnsi="黑体" w:eastAsia="黑体"/>
                <w:b/>
                <w:bCs/>
                <w:kern w:val="0"/>
                <w:sz w:val="24"/>
              </w:rPr>
              <w:t>（四）主要产品方案</w:t>
            </w:r>
          </w:p>
          <w:p>
            <w:pPr>
              <w:spacing w:line="360" w:lineRule="auto"/>
              <w:ind w:firstLine="480" w:firstLineChars="200"/>
              <w:rPr>
                <w:sz w:val="24"/>
              </w:rPr>
            </w:pPr>
            <w:r>
              <w:rPr>
                <w:rFonts w:hint="eastAsia"/>
                <w:sz w:val="24"/>
              </w:rPr>
              <w:t>本项目建设“年产2</w:t>
            </w:r>
            <w:r>
              <w:rPr>
                <w:sz w:val="24"/>
              </w:rPr>
              <w:t>.4</w:t>
            </w:r>
            <w:r>
              <w:rPr>
                <w:rFonts w:hint="eastAsia"/>
                <w:sz w:val="24"/>
              </w:rPr>
              <w:t>万t机制砂生产线”1条，项目运营期产品方案如下：</w:t>
            </w:r>
          </w:p>
          <w:p>
            <w:pPr>
              <w:adjustRightInd w:val="0"/>
              <w:snapToGrid w:val="0"/>
              <w:jc w:val="center"/>
              <w:rPr>
                <w:b/>
                <w:sz w:val="24"/>
              </w:rPr>
            </w:pPr>
            <w:r>
              <w:rPr>
                <w:b/>
                <w:sz w:val="24"/>
              </w:rPr>
              <w:t>表2.4-1  项目运营期产品方案一览表</w:t>
            </w:r>
          </w:p>
          <w:tbl>
            <w:tblPr>
              <w:tblStyle w:val="3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513"/>
              <w:gridCol w:w="2090"/>
              <w:gridCol w:w="2089"/>
              <w:gridCol w:w="14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39" w:type="pct"/>
                  <w:vAlign w:val="center"/>
                </w:tcPr>
                <w:p>
                  <w:pPr>
                    <w:adjustRightInd w:val="0"/>
                    <w:snapToGrid w:val="0"/>
                    <w:jc w:val="center"/>
                    <w:rPr>
                      <w:b/>
                      <w:szCs w:val="21"/>
                    </w:rPr>
                  </w:pPr>
                  <w:r>
                    <w:rPr>
                      <w:rFonts w:hint="eastAsia"/>
                      <w:b/>
                      <w:szCs w:val="21"/>
                    </w:rPr>
                    <w:t>产品名称</w:t>
                  </w:r>
                </w:p>
              </w:tc>
              <w:tc>
                <w:tcPr>
                  <w:tcW w:w="1280" w:type="pct"/>
                  <w:vAlign w:val="center"/>
                </w:tcPr>
                <w:p>
                  <w:pPr>
                    <w:adjustRightInd w:val="0"/>
                    <w:snapToGrid w:val="0"/>
                    <w:jc w:val="center"/>
                    <w:rPr>
                      <w:b/>
                      <w:szCs w:val="21"/>
                    </w:rPr>
                  </w:pPr>
                  <w:r>
                    <w:rPr>
                      <w:rFonts w:hint="eastAsia"/>
                      <w:b/>
                      <w:szCs w:val="21"/>
                    </w:rPr>
                    <w:t>总产量（万a</w:t>
                  </w:r>
                  <w:r>
                    <w:rPr>
                      <w:b/>
                      <w:szCs w:val="21"/>
                    </w:rPr>
                    <w:t>/</w:t>
                  </w:r>
                  <w:r>
                    <w:rPr>
                      <w:rFonts w:hint="eastAsia"/>
                      <w:b/>
                      <w:szCs w:val="21"/>
                    </w:rPr>
                    <w:t>t）</w:t>
                  </w:r>
                </w:p>
              </w:tc>
              <w:tc>
                <w:tcPr>
                  <w:tcW w:w="1279" w:type="pct"/>
                  <w:vAlign w:val="center"/>
                </w:tcPr>
                <w:p>
                  <w:pPr>
                    <w:adjustRightInd w:val="0"/>
                    <w:snapToGrid w:val="0"/>
                    <w:jc w:val="center"/>
                    <w:rPr>
                      <w:b/>
                      <w:szCs w:val="21"/>
                    </w:rPr>
                  </w:pPr>
                  <w:r>
                    <w:rPr>
                      <w:rFonts w:hint="eastAsia"/>
                      <w:b/>
                      <w:szCs w:val="21"/>
                    </w:rPr>
                    <w:t>平均产量（万t</w:t>
                  </w:r>
                  <w:r>
                    <w:rPr>
                      <w:b/>
                      <w:szCs w:val="21"/>
                    </w:rPr>
                    <w:t>/</w:t>
                  </w:r>
                  <w:r>
                    <w:rPr>
                      <w:rFonts w:hint="eastAsia"/>
                      <w:b/>
                      <w:szCs w:val="21"/>
                    </w:rPr>
                    <w:t>月）</w:t>
                  </w:r>
                </w:p>
              </w:tc>
              <w:tc>
                <w:tcPr>
                  <w:tcW w:w="902" w:type="pct"/>
                  <w:vAlign w:val="center"/>
                </w:tcPr>
                <w:p>
                  <w:pPr>
                    <w:adjustRightInd w:val="0"/>
                    <w:snapToGrid w:val="0"/>
                    <w:jc w:val="center"/>
                    <w:rPr>
                      <w:b/>
                      <w:szCs w:val="21"/>
                    </w:rPr>
                  </w:pPr>
                  <w:r>
                    <w:rPr>
                      <w:rFonts w:hint="eastAsia"/>
                      <w:b/>
                      <w:szCs w:val="21"/>
                    </w:rPr>
                    <w:t>去向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39" w:type="pct"/>
                  <w:vAlign w:val="center"/>
                </w:tcPr>
                <w:p>
                  <w:pPr>
                    <w:adjustRightInd w:val="0"/>
                    <w:snapToGrid w:val="0"/>
                    <w:jc w:val="center"/>
                    <w:rPr>
                      <w:szCs w:val="21"/>
                    </w:rPr>
                  </w:pPr>
                  <w:r>
                    <w:rPr>
                      <w:rFonts w:hint="eastAsia"/>
                      <w:szCs w:val="21"/>
                    </w:rPr>
                    <w:t>机制砂（＜5mm）</w:t>
                  </w:r>
                </w:p>
              </w:tc>
              <w:tc>
                <w:tcPr>
                  <w:tcW w:w="1280" w:type="pct"/>
                  <w:vAlign w:val="center"/>
                </w:tcPr>
                <w:p>
                  <w:pPr>
                    <w:adjustRightInd w:val="0"/>
                    <w:snapToGrid w:val="0"/>
                    <w:jc w:val="center"/>
                    <w:rPr>
                      <w:szCs w:val="21"/>
                    </w:rPr>
                  </w:pPr>
                  <w:r>
                    <w:rPr>
                      <w:szCs w:val="21"/>
                    </w:rPr>
                    <w:t>2.4</w:t>
                  </w:r>
                </w:p>
              </w:tc>
              <w:tc>
                <w:tcPr>
                  <w:tcW w:w="1279" w:type="pct"/>
                  <w:vAlign w:val="center"/>
                </w:tcPr>
                <w:p>
                  <w:pPr>
                    <w:adjustRightInd w:val="0"/>
                    <w:snapToGrid w:val="0"/>
                    <w:jc w:val="center"/>
                    <w:rPr>
                      <w:szCs w:val="21"/>
                    </w:rPr>
                  </w:pPr>
                  <w:r>
                    <w:rPr>
                      <w:rFonts w:hint="eastAsia"/>
                      <w:szCs w:val="21"/>
                    </w:rPr>
                    <w:t>0</w:t>
                  </w:r>
                  <w:r>
                    <w:rPr>
                      <w:szCs w:val="21"/>
                    </w:rPr>
                    <w:t>.2</w:t>
                  </w:r>
                </w:p>
              </w:tc>
              <w:tc>
                <w:tcPr>
                  <w:tcW w:w="902" w:type="pct"/>
                  <w:vAlign w:val="center"/>
                </w:tcPr>
                <w:p>
                  <w:pPr>
                    <w:adjustRightInd w:val="0"/>
                    <w:snapToGrid w:val="0"/>
                    <w:jc w:val="center"/>
                    <w:rPr>
                      <w:szCs w:val="21"/>
                    </w:rPr>
                  </w:pPr>
                  <w:r>
                    <w:rPr>
                      <w:rFonts w:hint="eastAsia"/>
                      <w:szCs w:val="21"/>
                    </w:rPr>
                    <w:t>外售</w:t>
                  </w:r>
                </w:p>
              </w:tc>
            </w:tr>
          </w:tbl>
          <w:p>
            <w:pPr>
              <w:spacing w:line="360" w:lineRule="auto"/>
              <w:rPr>
                <w:rFonts w:ascii="黑体" w:hAnsi="黑体" w:eastAsia="黑体"/>
                <w:b/>
                <w:bCs/>
                <w:kern w:val="0"/>
                <w:sz w:val="24"/>
              </w:rPr>
            </w:pPr>
            <w:r>
              <w:rPr>
                <w:rFonts w:hint="eastAsia" w:ascii="黑体" w:hAnsi="黑体" w:eastAsia="黑体"/>
                <w:b/>
                <w:bCs/>
                <w:kern w:val="0"/>
                <w:sz w:val="24"/>
              </w:rPr>
              <w:t>（五）主要原辅材料及能源消耗</w:t>
            </w:r>
          </w:p>
          <w:p>
            <w:pPr>
              <w:adjustRightInd w:val="0"/>
              <w:snapToGrid w:val="0"/>
              <w:spacing w:line="360" w:lineRule="auto"/>
              <w:rPr>
                <w:b/>
                <w:sz w:val="24"/>
              </w:rPr>
            </w:pPr>
            <w:r>
              <w:rPr>
                <w:rFonts w:hint="eastAsia"/>
                <w:b/>
                <w:sz w:val="24"/>
              </w:rPr>
              <w:t>1、主要原辅材料</w:t>
            </w:r>
          </w:p>
          <w:p>
            <w:pPr>
              <w:adjustRightInd w:val="0"/>
              <w:snapToGrid w:val="0"/>
              <w:spacing w:line="360" w:lineRule="auto"/>
              <w:ind w:firstLine="480" w:firstLineChars="200"/>
              <w:rPr>
                <w:color w:val="0000FF"/>
                <w:sz w:val="24"/>
              </w:rPr>
            </w:pPr>
            <w:r>
              <w:rPr>
                <w:rFonts w:hint="eastAsia"/>
                <w:color w:val="0000FF"/>
                <w:sz w:val="24"/>
              </w:rPr>
              <w:t>项目运营期建设单位向周边地区购买建筑施工场地开挖出的砂石含量大于8</w:t>
            </w:r>
            <w:r>
              <w:rPr>
                <w:color w:val="0000FF"/>
                <w:sz w:val="24"/>
              </w:rPr>
              <w:t>0%</w:t>
            </w:r>
            <w:r>
              <w:rPr>
                <w:rFonts w:hint="eastAsia"/>
                <w:color w:val="0000FF"/>
                <w:sz w:val="24"/>
              </w:rPr>
              <w:t>的砂石土作为生产原料。其次，项目运营期机械设备检修、润滑等需外购桶装润滑油。根据建设单位提供资料，项目运营期原辅材料用量及主要成分如下：</w:t>
            </w:r>
          </w:p>
          <w:p>
            <w:pPr>
              <w:pStyle w:val="2"/>
            </w:pPr>
          </w:p>
          <w:p>
            <w:pPr>
              <w:adjustRightInd w:val="0"/>
              <w:snapToGrid w:val="0"/>
              <w:jc w:val="center"/>
              <w:rPr>
                <w:b/>
                <w:sz w:val="24"/>
              </w:rPr>
            </w:pPr>
            <w:r>
              <w:rPr>
                <w:rFonts w:hint="eastAsia"/>
                <w:b/>
                <w:sz w:val="24"/>
              </w:rPr>
              <w:t>表2</w:t>
            </w:r>
            <w:r>
              <w:rPr>
                <w:b/>
                <w:sz w:val="24"/>
              </w:rPr>
              <w:t xml:space="preserve">.5-1  </w:t>
            </w:r>
            <w:r>
              <w:rPr>
                <w:rFonts w:hint="eastAsia"/>
                <w:b/>
                <w:sz w:val="24"/>
              </w:rPr>
              <w:t xml:space="preserve">项目主要原辅材料信息一览表 </w:t>
            </w:r>
            <w:r>
              <w:rPr>
                <w:b/>
                <w:sz w:val="24"/>
              </w:rPr>
              <w:t xml:space="preserve"> </w:t>
            </w:r>
            <w:r>
              <w:rPr>
                <w:rFonts w:hint="eastAsia"/>
                <w:b/>
                <w:sz w:val="24"/>
              </w:rPr>
              <w:t>单位：t</w:t>
            </w:r>
            <w:r>
              <w:rPr>
                <w:b/>
                <w:sz w:val="24"/>
              </w:rPr>
              <w:t>/</w:t>
            </w:r>
            <w:r>
              <w:rPr>
                <w:rFonts w:hint="eastAsia"/>
                <w:b/>
                <w:sz w:val="24"/>
              </w:rPr>
              <w:t>a</w:t>
            </w:r>
          </w:p>
          <w:tbl>
            <w:tblPr>
              <w:tblStyle w:val="32"/>
              <w:tblW w:w="5000" w:type="pct"/>
              <w:jc w:val="center"/>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Layout w:type="autofit"/>
              <w:tblCellMar>
                <w:top w:w="0" w:type="dxa"/>
                <w:left w:w="0" w:type="dxa"/>
                <w:bottom w:w="0" w:type="dxa"/>
                <w:right w:w="0" w:type="dxa"/>
              </w:tblCellMar>
            </w:tblPr>
            <w:tblGrid>
              <w:gridCol w:w="914"/>
              <w:gridCol w:w="766"/>
              <w:gridCol w:w="614"/>
              <w:gridCol w:w="1844"/>
              <w:gridCol w:w="1238"/>
              <w:gridCol w:w="1238"/>
              <w:gridCol w:w="1551"/>
            </w:tblGrid>
            <w:tr>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0" w:type="dxa"/>
                  <w:bottom w:w="0" w:type="dxa"/>
                  <w:right w:w="0" w:type="dxa"/>
                </w:tblCellMar>
              </w:tblPrEx>
              <w:trPr>
                <w:trHeight w:val="20" w:hRule="atLeast"/>
                <w:jc w:val="center"/>
              </w:trPr>
              <w:tc>
                <w:tcPr>
                  <w:tcW w:w="560" w:type="pct"/>
                  <w:shd w:val="clear" w:color="auto" w:fill="auto"/>
                  <w:vAlign w:val="center"/>
                </w:tcPr>
                <w:p>
                  <w:pPr>
                    <w:widowControl/>
                    <w:kinsoku w:val="0"/>
                    <w:autoSpaceDE w:val="0"/>
                    <w:autoSpaceDN w:val="0"/>
                    <w:adjustRightInd w:val="0"/>
                    <w:snapToGrid w:val="0"/>
                    <w:jc w:val="center"/>
                    <w:textAlignment w:val="baseline"/>
                    <w:rPr>
                      <w:b/>
                      <w:bCs/>
                      <w:snapToGrid w:val="0"/>
                      <w:szCs w:val="21"/>
                    </w:rPr>
                  </w:pPr>
                  <w:bookmarkStart w:id="26" w:name="_Hlk117667684"/>
                  <w:r>
                    <w:rPr>
                      <w:b/>
                      <w:bCs/>
                      <w:snapToGrid w:val="0"/>
                      <w:spacing w:val="-3"/>
                      <w:szCs w:val="21"/>
                    </w:rPr>
                    <w:t>名</w:t>
                  </w:r>
                  <w:r>
                    <w:rPr>
                      <w:b/>
                      <w:bCs/>
                      <w:snapToGrid w:val="0"/>
                      <w:spacing w:val="-2"/>
                      <w:szCs w:val="21"/>
                    </w:rPr>
                    <w:t>称</w:t>
                  </w:r>
                </w:p>
              </w:tc>
              <w:tc>
                <w:tcPr>
                  <w:tcW w:w="469" w:type="pct"/>
                  <w:shd w:val="clear" w:color="auto" w:fill="auto"/>
                  <w:vAlign w:val="center"/>
                </w:tcPr>
                <w:p>
                  <w:pPr>
                    <w:widowControl/>
                    <w:kinsoku w:val="0"/>
                    <w:autoSpaceDE w:val="0"/>
                    <w:autoSpaceDN w:val="0"/>
                    <w:adjustRightInd w:val="0"/>
                    <w:snapToGrid w:val="0"/>
                    <w:jc w:val="center"/>
                    <w:textAlignment w:val="baseline"/>
                    <w:rPr>
                      <w:b/>
                      <w:bCs/>
                      <w:snapToGrid w:val="0"/>
                      <w:szCs w:val="21"/>
                    </w:rPr>
                  </w:pPr>
                  <w:r>
                    <w:rPr>
                      <w:b/>
                      <w:bCs/>
                      <w:snapToGrid w:val="0"/>
                      <w:spacing w:val="-2"/>
                      <w:szCs w:val="21"/>
                    </w:rPr>
                    <w:t>用量</w:t>
                  </w:r>
                </w:p>
              </w:tc>
              <w:tc>
                <w:tcPr>
                  <w:tcW w:w="376" w:type="pct"/>
                  <w:shd w:val="clear" w:color="auto" w:fill="auto"/>
                  <w:vAlign w:val="center"/>
                </w:tcPr>
                <w:p>
                  <w:pPr>
                    <w:widowControl/>
                    <w:kinsoku w:val="0"/>
                    <w:autoSpaceDE w:val="0"/>
                    <w:autoSpaceDN w:val="0"/>
                    <w:adjustRightInd w:val="0"/>
                    <w:snapToGrid w:val="0"/>
                    <w:jc w:val="center"/>
                    <w:textAlignment w:val="baseline"/>
                    <w:rPr>
                      <w:b/>
                      <w:bCs/>
                      <w:snapToGrid w:val="0"/>
                      <w:szCs w:val="21"/>
                    </w:rPr>
                  </w:pPr>
                  <w:r>
                    <w:rPr>
                      <w:b/>
                      <w:bCs/>
                      <w:snapToGrid w:val="0"/>
                      <w:spacing w:val="-3"/>
                      <w:szCs w:val="21"/>
                    </w:rPr>
                    <w:t>形</w:t>
                  </w:r>
                  <w:r>
                    <w:rPr>
                      <w:b/>
                      <w:bCs/>
                      <w:snapToGrid w:val="0"/>
                      <w:spacing w:val="-2"/>
                      <w:szCs w:val="21"/>
                    </w:rPr>
                    <w:t>态</w:t>
                  </w:r>
                </w:p>
              </w:tc>
              <w:tc>
                <w:tcPr>
                  <w:tcW w:w="1129" w:type="pct"/>
                  <w:shd w:val="clear" w:color="auto" w:fill="auto"/>
                  <w:vAlign w:val="center"/>
                </w:tcPr>
                <w:p>
                  <w:pPr>
                    <w:widowControl/>
                    <w:kinsoku w:val="0"/>
                    <w:autoSpaceDE w:val="0"/>
                    <w:autoSpaceDN w:val="0"/>
                    <w:adjustRightInd w:val="0"/>
                    <w:snapToGrid w:val="0"/>
                    <w:jc w:val="center"/>
                    <w:textAlignment w:val="baseline"/>
                    <w:rPr>
                      <w:b/>
                      <w:bCs/>
                      <w:snapToGrid w:val="0"/>
                      <w:szCs w:val="21"/>
                    </w:rPr>
                  </w:pPr>
                  <w:r>
                    <w:rPr>
                      <w:b/>
                      <w:bCs/>
                      <w:snapToGrid w:val="0"/>
                      <w:spacing w:val="-1"/>
                      <w:szCs w:val="21"/>
                    </w:rPr>
                    <w:t>主要成分</w:t>
                  </w:r>
                </w:p>
              </w:tc>
              <w:tc>
                <w:tcPr>
                  <w:tcW w:w="758" w:type="pct"/>
                  <w:shd w:val="clear" w:color="auto" w:fill="auto"/>
                  <w:vAlign w:val="center"/>
                </w:tcPr>
                <w:p>
                  <w:pPr>
                    <w:widowControl/>
                    <w:kinsoku w:val="0"/>
                    <w:autoSpaceDE w:val="0"/>
                    <w:autoSpaceDN w:val="0"/>
                    <w:adjustRightInd w:val="0"/>
                    <w:snapToGrid w:val="0"/>
                    <w:jc w:val="center"/>
                    <w:textAlignment w:val="baseline"/>
                    <w:rPr>
                      <w:b/>
                      <w:bCs/>
                      <w:snapToGrid w:val="0"/>
                      <w:szCs w:val="21"/>
                    </w:rPr>
                  </w:pPr>
                  <w:r>
                    <w:rPr>
                      <w:b/>
                      <w:bCs/>
                      <w:snapToGrid w:val="0"/>
                      <w:spacing w:val="-1"/>
                      <w:szCs w:val="21"/>
                    </w:rPr>
                    <w:t>贮存方式</w:t>
                  </w:r>
                </w:p>
              </w:tc>
              <w:tc>
                <w:tcPr>
                  <w:tcW w:w="758" w:type="pct"/>
                  <w:shd w:val="clear" w:color="auto" w:fill="auto"/>
                  <w:vAlign w:val="center"/>
                </w:tcPr>
                <w:p>
                  <w:pPr>
                    <w:widowControl/>
                    <w:kinsoku w:val="0"/>
                    <w:autoSpaceDE w:val="0"/>
                    <w:autoSpaceDN w:val="0"/>
                    <w:adjustRightInd w:val="0"/>
                    <w:snapToGrid w:val="0"/>
                    <w:jc w:val="center"/>
                    <w:textAlignment w:val="baseline"/>
                    <w:rPr>
                      <w:b/>
                      <w:bCs/>
                      <w:snapToGrid w:val="0"/>
                      <w:szCs w:val="21"/>
                    </w:rPr>
                  </w:pPr>
                  <w:r>
                    <w:rPr>
                      <w:b/>
                      <w:bCs/>
                      <w:snapToGrid w:val="0"/>
                      <w:spacing w:val="-1"/>
                      <w:szCs w:val="21"/>
                    </w:rPr>
                    <w:t>贮存场所</w:t>
                  </w:r>
                </w:p>
              </w:tc>
              <w:tc>
                <w:tcPr>
                  <w:tcW w:w="951" w:type="pct"/>
                  <w:shd w:val="clear" w:color="auto" w:fill="auto"/>
                  <w:vAlign w:val="center"/>
                </w:tcPr>
                <w:p>
                  <w:pPr>
                    <w:widowControl/>
                    <w:kinsoku w:val="0"/>
                    <w:autoSpaceDE w:val="0"/>
                    <w:autoSpaceDN w:val="0"/>
                    <w:adjustRightInd w:val="0"/>
                    <w:snapToGrid w:val="0"/>
                    <w:jc w:val="center"/>
                    <w:textAlignment w:val="baseline"/>
                    <w:rPr>
                      <w:b/>
                      <w:bCs/>
                      <w:snapToGrid w:val="0"/>
                      <w:szCs w:val="21"/>
                    </w:rPr>
                  </w:pPr>
                  <w:r>
                    <w:rPr>
                      <w:b/>
                      <w:bCs/>
                      <w:snapToGrid w:val="0"/>
                      <w:spacing w:val="-1"/>
                      <w:szCs w:val="21"/>
                    </w:rPr>
                    <w:t>最大贮存</w:t>
                  </w:r>
                  <w:r>
                    <w:rPr>
                      <w:b/>
                      <w:bCs/>
                      <w:snapToGrid w:val="0"/>
                      <w:szCs w:val="21"/>
                    </w:rPr>
                    <w:t>量</w:t>
                  </w:r>
                </w:p>
              </w:tc>
            </w:tr>
            <w:tr>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0" w:type="dxa"/>
                  <w:bottom w:w="0" w:type="dxa"/>
                  <w:right w:w="0" w:type="dxa"/>
                </w:tblCellMar>
              </w:tblPrEx>
              <w:trPr>
                <w:trHeight w:val="20" w:hRule="atLeast"/>
                <w:jc w:val="center"/>
              </w:trPr>
              <w:tc>
                <w:tcPr>
                  <w:tcW w:w="560" w:type="pct"/>
                  <w:shd w:val="clear" w:color="auto" w:fill="auto"/>
                  <w:vAlign w:val="center"/>
                </w:tcPr>
                <w:p>
                  <w:pPr>
                    <w:widowControl/>
                    <w:kinsoku w:val="0"/>
                    <w:autoSpaceDE w:val="0"/>
                    <w:autoSpaceDN w:val="0"/>
                    <w:adjustRightInd w:val="0"/>
                    <w:snapToGrid w:val="0"/>
                    <w:jc w:val="center"/>
                    <w:textAlignment w:val="baseline"/>
                    <w:rPr>
                      <w:snapToGrid w:val="0"/>
                      <w:spacing w:val="-3"/>
                      <w:szCs w:val="21"/>
                    </w:rPr>
                  </w:pPr>
                  <w:r>
                    <w:rPr>
                      <w:rFonts w:hint="eastAsia"/>
                      <w:snapToGrid w:val="0"/>
                      <w:spacing w:val="-3"/>
                      <w:szCs w:val="21"/>
                    </w:rPr>
                    <w:t>砂土石</w:t>
                  </w:r>
                </w:p>
              </w:tc>
              <w:tc>
                <w:tcPr>
                  <w:tcW w:w="469" w:type="pct"/>
                  <w:shd w:val="clear" w:color="auto" w:fill="auto"/>
                  <w:vAlign w:val="center"/>
                </w:tcPr>
                <w:p>
                  <w:pPr>
                    <w:widowControl/>
                    <w:kinsoku w:val="0"/>
                    <w:autoSpaceDE w:val="0"/>
                    <w:autoSpaceDN w:val="0"/>
                    <w:adjustRightInd w:val="0"/>
                    <w:snapToGrid w:val="0"/>
                    <w:jc w:val="center"/>
                    <w:textAlignment w:val="baseline"/>
                    <w:rPr>
                      <w:snapToGrid w:val="0"/>
                      <w:spacing w:val="-2"/>
                      <w:szCs w:val="21"/>
                    </w:rPr>
                  </w:pPr>
                  <w:r>
                    <w:rPr>
                      <w:rFonts w:hint="eastAsia"/>
                      <w:snapToGrid w:val="0"/>
                      <w:spacing w:val="-2"/>
                      <w:szCs w:val="21"/>
                    </w:rPr>
                    <w:t>3</w:t>
                  </w:r>
                  <w:r>
                    <w:rPr>
                      <w:snapToGrid w:val="0"/>
                      <w:spacing w:val="-2"/>
                      <w:szCs w:val="21"/>
                    </w:rPr>
                    <w:t>0000</w:t>
                  </w:r>
                </w:p>
              </w:tc>
              <w:tc>
                <w:tcPr>
                  <w:tcW w:w="376" w:type="pct"/>
                  <w:shd w:val="clear" w:color="auto" w:fill="auto"/>
                  <w:vAlign w:val="center"/>
                </w:tcPr>
                <w:p>
                  <w:pPr>
                    <w:widowControl/>
                    <w:kinsoku w:val="0"/>
                    <w:autoSpaceDE w:val="0"/>
                    <w:autoSpaceDN w:val="0"/>
                    <w:adjustRightInd w:val="0"/>
                    <w:snapToGrid w:val="0"/>
                    <w:jc w:val="center"/>
                    <w:textAlignment w:val="baseline"/>
                    <w:rPr>
                      <w:snapToGrid w:val="0"/>
                      <w:spacing w:val="-3"/>
                      <w:szCs w:val="21"/>
                    </w:rPr>
                  </w:pPr>
                  <w:r>
                    <w:rPr>
                      <w:rFonts w:hint="eastAsia"/>
                      <w:snapToGrid w:val="0"/>
                      <w:spacing w:val="-3"/>
                      <w:szCs w:val="21"/>
                    </w:rPr>
                    <w:t>固态</w:t>
                  </w:r>
                </w:p>
              </w:tc>
              <w:tc>
                <w:tcPr>
                  <w:tcW w:w="1129" w:type="pct"/>
                  <w:shd w:val="clear" w:color="auto" w:fill="auto"/>
                  <w:vAlign w:val="center"/>
                </w:tcPr>
                <w:p>
                  <w:pPr>
                    <w:widowControl/>
                    <w:kinsoku w:val="0"/>
                    <w:autoSpaceDE w:val="0"/>
                    <w:autoSpaceDN w:val="0"/>
                    <w:adjustRightInd w:val="0"/>
                    <w:snapToGrid w:val="0"/>
                    <w:jc w:val="center"/>
                    <w:textAlignment w:val="baseline"/>
                    <w:rPr>
                      <w:snapToGrid w:val="0"/>
                      <w:spacing w:val="-1"/>
                      <w:szCs w:val="21"/>
                    </w:rPr>
                  </w:pPr>
                  <w:r>
                    <w:rPr>
                      <w:rFonts w:hint="eastAsia"/>
                      <w:snapToGrid w:val="0"/>
                      <w:spacing w:val="-1"/>
                      <w:szCs w:val="21"/>
                    </w:rPr>
                    <w:t>砂、砾石、土</w:t>
                  </w:r>
                </w:p>
              </w:tc>
              <w:tc>
                <w:tcPr>
                  <w:tcW w:w="758" w:type="pct"/>
                  <w:shd w:val="clear" w:color="auto" w:fill="auto"/>
                  <w:vAlign w:val="center"/>
                </w:tcPr>
                <w:p>
                  <w:pPr>
                    <w:widowControl/>
                    <w:kinsoku w:val="0"/>
                    <w:autoSpaceDE w:val="0"/>
                    <w:autoSpaceDN w:val="0"/>
                    <w:adjustRightInd w:val="0"/>
                    <w:snapToGrid w:val="0"/>
                    <w:jc w:val="center"/>
                    <w:textAlignment w:val="baseline"/>
                    <w:rPr>
                      <w:snapToGrid w:val="0"/>
                      <w:spacing w:val="-1"/>
                      <w:szCs w:val="21"/>
                    </w:rPr>
                  </w:pPr>
                  <w:r>
                    <w:rPr>
                      <w:rFonts w:hint="eastAsia"/>
                      <w:snapToGrid w:val="0"/>
                      <w:spacing w:val="-1"/>
                      <w:szCs w:val="21"/>
                    </w:rPr>
                    <w:t>散装</w:t>
                  </w:r>
                </w:p>
              </w:tc>
              <w:tc>
                <w:tcPr>
                  <w:tcW w:w="758" w:type="pct"/>
                  <w:shd w:val="clear" w:color="auto" w:fill="auto"/>
                  <w:vAlign w:val="center"/>
                </w:tcPr>
                <w:p>
                  <w:pPr>
                    <w:widowControl/>
                    <w:kinsoku w:val="0"/>
                    <w:autoSpaceDE w:val="0"/>
                    <w:autoSpaceDN w:val="0"/>
                    <w:adjustRightInd w:val="0"/>
                    <w:snapToGrid w:val="0"/>
                    <w:jc w:val="center"/>
                    <w:textAlignment w:val="baseline"/>
                    <w:rPr>
                      <w:snapToGrid w:val="0"/>
                      <w:spacing w:val="-1"/>
                      <w:szCs w:val="21"/>
                    </w:rPr>
                  </w:pPr>
                  <w:r>
                    <w:rPr>
                      <w:rFonts w:hint="eastAsia"/>
                      <w:snapToGrid w:val="0"/>
                      <w:spacing w:val="-1"/>
                      <w:szCs w:val="21"/>
                    </w:rPr>
                    <w:t>原料库</w:t>
                  </w:r>
                </w:p>
              </w:tc>
              <w:tc>
                <w:tcPr>
                  <w:tcW w:w="951" w:type="pct"/>
                  <w:shd w:val="clear" w:color="auto" w:fill="auto"/>
                  <w:vAlign w:val="center"/>
                </w:tcPr>
                <w:p>
                  <w:pPr>
                    <w:widowControl/>
                    <w:kinsoku w:val="0"/>
                    <w:autoSpaceDE w:val="0"/>
                    <w:autoSpaceDN w:val="0"/>
                    <w:adjustRightInd w:val="0"/>
                    <w:snapToGrid w:val="0"/>
                    <w:jc w:val="center"/>
                    <w:textAlignment w:val="baseline"/>
                    <w:rPr>
                      <w:snapToGrid w:val="0"/>
                      <w:spacing w:val="-1"/>
                      <w:szCs w:val="21"/>
                    </w:rPr>
                  </w:pPr>
                  <w:r>
                    <w:rPr>
                      <w:rFonts w:hint="eastAsia"/>
                      <w:snapToGrid w:val="0"/>
                      <w:spacing w:val="-1"/>
                      <w:szCs w:val="21"/>
                    </w:rPr>
                    <w:t>1</w:t>
                  </w:r>
                  <w:r>
                    <w:rPr>
                      <w:snapToGrid w:val="0"/>
                      <w:spacing w:val="-1"/>
                      <w:szCs w:val="21"/>
                    </w:rPr>
                    <w:t>25</w:t>
                  </w:r>
                </w:p>
              </w:tc>
            </w:tr>
            <w:tr>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0" w:type="dxa"/>
                  <w:bottom w:w="0" w:type="dxa"/>
                  <w:right w:w="0" w:type="dxa"/>
                </w:tblCellMar>
              </w:tblPrEx>
              <w:trPr>
                <w:trHeight w:val="20" w:hRule="atLeast"/>
                <w:jc w:val="center"/>
              </w:trPr>
              <w:tc>
                <w:tcPr>
                  <w:tcW w:w="560" w:type="pct"/>
                  <w:shd w:val="clear" w:color="auto" w:fill="auto"/>
                  <w:vAlign w:val="center"/>
                </w:tcPr>
                <w:p>
                  <w:pPr>
                    <w:widowControl/>
                    <w:kinsoku w:val="0"/>
                    <w:autoSpaceDE w:val="0"/>
                    <w:autoSpaceDN w:val="0"/>
                    <w:adjustRightInd w:val="0"/>
                    <w:snapToGrid w:val="0"/>
                    <w:jc w:val="center"/>
                    <w:textAlignment w:val="baseline"/>
                    <w:rPr>
                      <w:snapToGrid w:val="0"/>
                      <w:spacing w:val="-3"/>
                      <w:szCs w:val="21"/>
                    </w:rPr>
                  </w:pPr>
                  <w:r>
                    <w:rPr>
                      <w:rFonts w:hint="eastAsia"/>
                      <w:snapToGrid w:val="0"/>
                      <w:spacing w:val="-3"/>
                      <w:szCs w:val="21"/>
                    </w:rPr>
                    <w:t>润滑油</w:t>
                  </w:r>
                </w:p>
              </w:tc>
              <w:tc>
                <w:tcPr>
                  <w:tcW w:w="469" w:type="pct"/>
                  <w:shd w:val="clear" w:color="auto" w:fill="auto"/>
                  <w:vAlign w:val="center"/>
                </w:tcPr>
                <w:p>
                  <w:pPr>
                    <w:widowControl/>
                    <w:kinsoku w:val="0"/>
                    <w:autoSpaceDE w:val="0"/>
                    <w:autoSpaceDN w:val="0"/>
                    <w:adjustRightInd w:val="0"/>
                    <w:snapToGrid w:val="0"/>
                    <w:jc w:val="center"/>
                    <w:textAlignment w:val="baseline"/>
                    <w:rPr>
                      <w:snapToGrid w:val="0"/>
                      <w:spacing w:val="-2"/>
                      <w:szCs w:val="21"/>
                    </w:rPr>
                  </w:pPr>
                  <w:r>
                    <w:rPr>
                      <w:rFonts w:hint="eastAsia"/>
                      <w:snapToGrid w:val="0"/>
                      <w:spacing w:val="-2"/>
                      <w:szCs w:val="21"/>
                    </w:rPr>
                    <w:t>0</w:t>
                  </w:r>
                  <w:r>
                    <w:rPr>
                      <w:snapToGrid w:val="0"/>
                      <w:spacing w:val="-2"/>
                      <w:szCs w:val="21"/>
                    </w:rPr>
                    <w:t>.1</w:t>
                  </w:r>
                </w:p>
              </w:tc>
              <w:tc>
                <w:tcPr>
                  <w:tcW w:w="376" w:type="pct"/>
                  <w:shd w:val="clear" w:color="auto" w:fill="auto"/>
                  <w:vAlign w:val="center"/>
                </w:tcPr>
                <w:p>
                  <w:pPr>
                    <w:widowControl/>
                    <w:kinsoku w:val="0"/>
                    <w:autoSpaceDE w:val="0"/>
                    <w:autoSpaceDN w:val="0"/>
                    <w:adjustRightInd w:val="0"/>
                    <w:snapToGrid w:val="0"/>
                    <w:jc w:val="center"/>
                    <w:textAlignment w:val="baseline"/>
                    <w:rPr>
                      <w:snapToGrid w:val="0"/>
                      <w:spacing w:val="-3"/>
                      <w:szCs w:val="21"/>
                    </w:rPr>
                  </w:pPr>
                  <w:r>
                    <w:rPr>
                      <w:rFonts w:hint="eastAsia"/>
                      <w:snapToGrid w:val="0"/>
                      <w:spacing w:val="-3"/>
                      <w:szCs w:val="21"/>
                    </w:rPr>
                    <w:t>液态</w:t>
                  </w:r>
                </w:p>
              </w:tc>
              <w:tc>
                <w:tcPr>
                  <w:tcW w:w="1129" w:type="pct"/>
                  <w:shd w:val="clear" w:color="auto" w:fill="auto"/>
                  <w:vAlign w:val="center"/>
                </w:tcPr>
                <w:p>
                  <w:pPr>
                    <w:widowControl/>
                    <w:kinsoku w:val="0"/>
                    <w:autoSpaceDE w:val="0"/>
                    <w:autoSpaceDN w:val="0"/>
                    <w:adjustRightInd w:val="0"/>
                    <w:snapToGrid w:val="0"/>
                    <w:jc w:val="center"/>
                    <w:textAlignment w:val="baseline"/>
                    <w:rPr>
                      <w:snapToGrid w:val="0"/>
                      <w:spacing w:val="-1"/>
                      <w:szCs w:val="21"/>
                    </w:rPr>
                  </w:pPr>
                  <w:r>
                    <w:rPr>
                      <w:rFonts w:hint="eastAsia"/>
                      <w:snapToGrid w:val="0"/>
                      <w:spacing w:val="-1"/>
                      <w:szCs w:val="21"/>
                    </w:rPr>
                    <w:t>矿物油</w:t>
                  </w:r>
                </w:p>
              </w:tc>
              <w:tc>
                <w:tcPr>
                  <w:tcW w:w="758" w:type="pct"/>
                  <w:shd w:val="clear" w:color="auto" w:fill="auto"/>
                  <w:vAlign w:val="center"/>
                </w:tcPr>
                <w:p>
                  <w:pPr>
                    <w:widowControl/>
                    <w:kinsoku w:val="0"/>
                    <w:autoSpaceDE w:val="0"/>
                    <w:autoSpaceDN w:val="0"/>
                    <w:adjustRightInd w:val="0"/>
                    <w:snapToGrid w:val="0"/>
                    <w:jc w:val="center"/>
                    <w:textAlignment w:val="baseline"/>
                    <w:rPr>
                      <w:snapToGrid w:val="0"/>
                      <w:spacing w:val="-1"/>
                      <w:szCs w:val="21"/>
                    </w:rPr>
                  </w:pPr>
                  <w:r>
                    <w:rPr>
                      <w:snapToGrid w:val="0"/>
                      <w:spacing w:val="-1"/>
                      <w:szCs w:val="21"/>
                    </w:rPr>
                    <w:t>15</w:t>
                  </w:r>
                  <w:r>
                    <w:rPr>
                      <w:rFonts w:hint="eastAsia"/>
                      <w:snapToGrid w:val="0"/>
                      <w:spacing w:val="-1"/>
                      <w:szCs w:val="21"/>
                    </w:rPr>
                    <w:t>kg</w:t>
                  </w:r>
                  <w:r>
                    <w:rPr>
                      <w:snapToGrid w:val="0"/>
                      <w:spacing w:val="-1"/>
                      <w:szCs w:val="21"/>
                    </w:rPr>
                    <w:t>/</w:t>
                  </w:r>
                  <w:r>
                    <w:rPr>
                      <w:rFonts w:hint="eastAsia"/>
                      <w:snapToGrid w:val="0"/>
                      <w:spacing w:val="-1"/>
                      <w:szCs w:val="21"/>
                    </w:rPr>
                    <w:t>桶</w:t>
                  </w:r>
                </w:p>
              </w:tc>
              <w:tc>
                <w:tcPr>
                  <w:tcW w:w="758" w:type="pct"/>
                  <w:shd w:val="clear" w:color="auto" w:fill="auto"/>
                  <w:vAlign w:val="center"/>
                </w:tcPr>
                <w:p>
                  <w:pPr>
                    <w:widowControl/>
                    <w:kinsoku w:val="0"/>
                    <w:autoSpaceDE w:val="0"/>
                    <w:autoSpaceDN w:val="0"/>
                    <w:adjustRightInd w:val="0"/>
                    <w:snapToGrid w:val="0"/>
                    <w:jc w:val="center"/>
                    <w:textAlignment w:val="baseline"/>
                    <w:rPr>
                      <w:snapToGrid w:val="0"/>
                      <w:spacing w:val="-1"/>
                      <w:szCs w:val="21"/>
                    </w:rPr>
                  </w:pPr>
                  <w:r>
                    <w:rPr>
                      <w:rFonts w:hint="eastAsia"/>
                      <w:snapToGrid w:val="0"/>
                      <w:spacing w:val="-1"/>
                      <w:szCs w:val="21"/>
                    </w:rPr>
                    <w:t>现购现用</w:t>
                  </w:r>
                </w:p>
              </w:tc>
              <w:tc>
                <w:tcPr>
                  <w:tcW w:w="951" w:type="pct"/>
                  <w:shd w:val="clear" w:color="auto" w:fill="auto"/>
                  <w:vAlign w:val="center"/>
                </w:tcPr>
                <w:p>
                  <w:pPr>
                    <w:widowControl/>
                    <w:kinsoku w:val="0"/>
                    <w:autoSpaceDE w:val="0"/>
                    <w:autoSpaceDN w:val="0"/>
                    <w:adjustRightInd w:val="0"/>
                    <w:snapToGrid w:val="0"/>
                    <w:jc w:val="center"/>
                    <w:textAlignment w:val="baseline"/>
                    <w:rPr>
                      <w:snapToGrid w:val="0"/>
                      <w:spacing w:val="-1"/>
                      <w:szCs w:val="21"/>
                    </w:rPr>
                  </w:pPr>
                  <w:r>
                    <w:rPr>
                      <w:snapToGrid w:val="0"/>
                      <w:spacing w:val="-1"/>
                      <w:szCs w:val="21"/>
                    </w:rPr>
                    <w:t>/</w:t>
                  </w:r>
                </w:p>
              </w:tc>
            </w:tr>
            <w:tr>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0" w:type="dxa"/>
                  <w:bottom w:w="0" w:type="dxa"/>
                  <w:right w:w="0" w:type="dxa"/>
                </w:tblCellMar>
              </w:tblPrEx>
              <w:trPr>
                <w:trHeight w:val="20" w:hRule="atLeast"/>
                <w:jc w:val="center"/>
              </w:trPr>
              <w:tc>
                <w:tcPr>
                  <w:tcW w:w="5000" w:type="pct"/>
                  <w:gridSpan w:val="7"/>
                  <w:shd w:val="clear" w:color="auto" w:fill="auto"/>
                  <w:vAlign w:val="center"/>
                </w:tcPr>
                <w:p>
                  <w:pPr>
                    <w:widowControl/>
                    <w:kinsoku w:val="0"/>
                    <w:autoSpaceDE w:val="0"/>
                    <w:autoSpaceDN w:val="0"/>
                    <w:adjustRightInd w:val="0"/>
                    <w:snapToGrid w:val="0"/>
                    <w:jc w:val="center"/>
                    <w:textAlignment w:val="baseline"/>
                    <w:rPr>
                      <w:snapToGrid w:val="0"/>
                      <w:spacing w:val="-1"/>
                      <w:szCs w:val="21"/>
                    </w:rPr>
                  </w:pPr>
                  <w:r>
                    <w:rPr>
                      <w:rFonts w:hint="eastAsia"/>
                      <w:snapToGrid w:val="0"/>
                      <w:spacing w:val="-1"/>
                      <w:szCs w:val="21"/>
                    </w:rPr>
                    <w:t>备注：砂土石中砂石含量≥8</w:t>
                  </w:r>
                  <w:r>
                    <w:rPr>
                      <w:snapToGrid w:val="0"/>
                      <w:spacing w:val="-1"/>
                      <w:szCs w:val="21"/>
                    </w:rPr>
                    <w:t>0%</w:t>
                  </w:r>
                  <w:r>
                    <w:rPr>
                      <w:rFonts w:hint="eastAsia"/>
                      <w:snapToGrid w:val="0"/>
                      <w:spacing w:val="-1"/>
                      <w:szCs w:val="21"/>
                    </w:rPr>
                    <w:t>。</w:t>
                  </w:r>
                </w:p>
              </w:tc>
            </w:tr>
            <w:bookmarkEnd w:id="26"/>
          </w:tbl>
          <w:p>
            <w:pPr>
              <w:adjustRightInd w:val="0"/>
              <w:snapToGrid w:val="0"/>
              <w:jc w:val="center"/>
              <w:rPr>
                <w:b/>
                <w:sz w:val="24"/>
              </w:rPr>
            </w:pPr>
            <w:r>
              <w:rPr>
                <w:rFonts w:hint="eastAsia"/>
                <w:b/>
                <w:sz w:val="24"/>
              </w:rPr>
              <w:t>表2</w:t>
            </w:r>
            <w:r>
              <w:rPr>
                <w:b/>
                <w:sz w:val="24"/>
              </w:rPr>
              <w:t xml:space="preserve">.5-2  </w:t>
            </w:r>
            <w:r>
              <w:rPr>
                <w:rFonts w:hint="eastAsia"/>
                <w:b/>
                <w:sz w:val="24"/>
              </w:rPr>
              <w:t>主要原辅材料理化性质表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3377"/>
              <w:gridCol w:w="2988"/>
              <w:gridCol w:w="1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shd w:val="clear" w:color="auto" w:fill="auto"/>
                  <w:vAlign w:val="center"/>
                </w:tcPr>
                <w:p>
                  <w:pPr>
                    <w:adjustRightInd w:val="0"/>
                    <w:snapToGrid w:val="0"/>
                    <w:jc w:val="center"/>
                    <w:rPr>
                      <w:b/>
                      <w:szCs w:val="21"/>
                    </w:rPr>
                  </w:pPr>
                  <w:r>
                    <w:rPr>
                      <w:rFonts w:hint="eastAsia"/>
                      <w:b/>
                      <w:szCs w:val="21"/>
                    </w:rPr>
                    <w:t>名称</w:t>
                  </w:r>
                </w:p>
              </w:tc>
              <w:tc>
                <w:tcPr>
                  <w:tcW w:w="2068" w:type="pct"/>
                  <w:shd w:val="clear" w:color="auto" w:fill="auto"/>
                  <w:vAlign w:val="center"/>
                </w:tcPr>
                <w:p>
                  <w:pPr>
                    <w:adjustRightInd w:val="0"/>
                    <w:snapToGrid w:val="0"/>
                    <w:jc w:val="center"/>
                    <w:rPr>
                      <w:b/>
                      <w:szCs w:val="21"/>
                    </w:rPr>
                  </w:pPr>
                  <w:r>
                    <w:rPr>
                      <w:rFonts w:hint="eastAsia"/>
                      <w:b/>
                      <w:szCs w:val="21"/>
                    </w:rPr>
                    <w:t>理化特性</w:t>
                  </w:r>
                </w:p>
              </w:tc>
              <w:tc>
                <w:tcPr>
                  <w:tcW w:w="1830" w:type="pct"/>
                  <w:shd w:val="clear" w:color="auto" w:fill="auto"/>
                  <w:vAlign w:val="center"/>
                </w:tcPr>
                <w:p>
                  <w:pPr>
                    <w:adjustRightInd w:val="0"/>
                    <w:snapToGrid w:val="0"/>
                    <w:jc w:val="center"/>
                    <w:rPr>
                      <w:b/>
                      <w:szCs w:val="21"/>
                    </w:rPr>
                  </w:pPr>
                  <w:r>
                    <w:rPr>
                      <w:rFonts w:hint="eastAsia"/>
                      <w:b/>
                      <w:szCs w:val="21"/>
                    </w:rPr>
                    <w:t>燃烧爆炸性</w:t>
                  </w:r>
                </w:p>
              </w:tc>
              <w:tc>
                <w:tcPr>
                  <w:tcW w:w="667" w:type="pct"/>
                  <w:shd w:val="clear" w:color="auto" w:fill="auto"/>
                  <w:vAlign w:val="center"/>
                </w:tcPr>
                <w:p>
                  <w:pPr>
                    <w:adjustRightInd w:val="0"/>
                    <w:snapToGrid w:val="0"/>
                    <w:jc w:val="center"/>
                    <w:rPr>
                      <w:b/>
                      <w:szCs w:val="21"/>
                    </w:rPr>
                  </w:pPr>
                  <w:r>
                    <w:rPr>
                      <w:rFonts w:hint="eastAsia"/>
                      <w:b/>
                      <w:szCs w:val="21"/>
                    </w:rPr>
                    <w:t>毒理毒性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shd w:val="clear" w:color="auto" w:fill="auto"/>
                  <w:vAlign w:val="center"/>
                </w:tcPr>
                <w:p>
                  <w:pPr>
                    <w:adjustRightInd w:val="0"/>
                    <w:snapToGrid w:val="0"/>
                    <w:jc w:val="center"/>
                    <w:rPr>
                      <w:bCs/>
                      <w:szCs w:val="21"/>
                    </w:rPr>
                  </w:pPr>
                  <w:r>
                    <w:rPr>
                      <w:rFonts w:hint="eastAsia"/>
                      <w:bCs/>
                      <w:szCs w:val="21"/>
                    </w:rPr>
                    <w:t>润滑油</w:t>
                  </w:r>
                </w:p>
              </w:tc>
              <w:tc>
                <w:tcPr>
                  <w:tcW w:w="2068" w:type="pct"/>
                  <w:shd w:val="clear" w:color="auto" w:fill="auto"/>
                  <w:vAlign w:val="center"/>
                </w:tcPr>
                <w:p>
                  <w:pPr>
                    <w:adjustRightInd w:val="0"/>
                    <w:snapToGrid w:val="0"/>
                    <w:rPr>
                      <w:bCs/>
                      <w:szCs w:val="21"/>
                    </w:rPr>
                  </w:pPr>
                  <w:r>
                    <w:rPr>
                      <w:rFonts w:hint="eastAsia"/>
                      <w:bCs/>
                      <w:szCs w:val="21"/>
                    </w:rPr>
                    <w:t>淡黄色粘稠液体，闪点1</w:t>
                  </w:r>
                  <w:r>
                    <w:rPr>
                      <w:bCs/>
                      <w:szCs w:val="21"/>
                    </w:rPr>
                    <w:t>20~340</w:t>
                  </w:r>
                  <w:r>
                    <w:rPr>
                      <w:rFonts w:hint="eastAsia"/>
                      <w:bCs/>
                      <w:szCs w:val="21"/>
                    </w:rPr>
                    <w:t>℃；自燃点3</w:t>
                  </w:r>
                  <w:r>
                    <w:rPr>
                      <w:bCs/>
                      <w:szCs w:val="21"/>
                    </w:rPr>
                    <w:t>00~350</w:t>
                  </w:r>
                  <w:r>
                    <w:rPr>
                      <w:rFonts w:hint="eastAsia"/>
                      <w:bCs/>
                      <w:szCs w:val="21"/>
                    </w:rPr>
                    <w:t>℃；相对密度水=</w:t>
                  </w:r>
                  <w:r>
                    <w:rPr>
                      <w:bCs/>
                      <w:szCs w:val="21"/>
                    </w:rPr>
                    <w:t>1</w:t>
                  </w:r>
                  <w:r>
                    <w:rPr>
                      <w:rFonts w:hint="eastAsia"/>
                      <w:bCs/>
                      <w:szCs w:val="21"/>
                    </w:rPr>
                    <w:t>，9</w:t>
                  </w:r>
                  <w:r>
                    <w:rPr>
                      <w:bCs/>
                      <w:szCs w:val="21"/>
                    </w:rPr>
                    <w:t>34.8</w:t>
                  </w:r>
                  <w:r>
                    <w:rPr>
                      <w:rFonts w:hint="eastAsia"/>
                      <w:bCs/>
                      <w:szCs w:val="21"/>
                    </w:rPr>
                    <w:t>，空气=</w:t>
                  </w:r>
                  <w:r>
                    <w:rPr>
                      <w:bCs/>
                      <w:szCs w:val="21"/>
                    </w:rPr>
                    <w:t>0.85</w:t>
                  </w:r>
                  <w:r>
                    <w:rPr>
                      <w:rFonts w:hint="eastAsia"/>
                      <w:bCs/>
                      <w:szCs w:val="21"/>
                    </w:rPr>
                    <w:t>；沸点-</w:t>
                  </w:r>
                  <w:r>
                    <w:rPr>
                      <w:bCs/>
                      <w:szCs w:val="21"/>
                    </w:rPr>
                    <w:t>252.8</w:t>
                  </w:r>
                  <w:r>
                    <w:rPr>
                      <w:rFonts w:hint="eastAsia"/>
                      <w:bCs/>
                      <w:szCs w:val="21"/>
                    </w:rPr>
                    <w:t>℃；饱和蒸气压（kP</w:t>
                  </w:r>
                  <w:r>
                    <w:rPr>
                      <w:bCs/>
                      <w:szCs w:val="21"/>
                    </w:rPr>
                    <w:t>a</w:t>
                  </w:r>
                  <w:r>
                    <w:rPr>
                      <w:rFonts w:hint="eastAsia"/>
                      <w:bCs/>
                      <w:szCs w:val="21"/>
                    </w:rPr>
                    <w:t>）0</w:t>
                  </w:r>
                  <w:r>
                    <w:rPr>
                      <w:bCs/>
                      <w:szCs w:val="21"/>
                    </w:rPr>
                    <w:t>.13/145.8</w:t>
                  </w:r>
                  <w:r>
                    <w:rPr>
                      <w:rFonts w:hint="eastAsia"/>
                      <w:bCs/>
                      <w:szCs w:val="21"/>
                    </w:rPr>
                    <w:t>℃；溶于苯、乙醇、乙醚、氦仿、丙酮等多数有机溶剂。</w:t>
                  </w:r>
                </w:p>
              </w:tc>
              <w:tc>
                <w:tcPr>
                  <w:tcW w:w="1830" w:type="pct"/>
                  <w:shd w:val="clear" w:color="auto" w:fill="auto"/>
                  <w:vAlign w:val="center"/>
                </w:tcPr>
                <w:p>
                  <w:pPr>
                    <w:adjustRightInd w:val="0"/>
                    <w:snapToGrid w:val="0"/>
                    <w:rPr>
                      <w:bCs/>
                      <w:szCs w:val="21"/>
                    </w:rPr>
                  </w:pPr>
                  <w:r>
                    <w:rPr>
                      <w:rFonts w:hint="eastAsia"/>
                      <w:bCs/>
                      <w:szCs w:val="21"/>
                    </w:rPr>
                    <w:t>危险特性：可燃液体，火灾危险性为丙B类；遇明火、高热可燃；燃烧分解产物：CO、CO2等有毒有害气体；稳定性：稳定；禁忌物：硝酸等强氧化剂。</w:t>
                  </w:r>
                </w:p>
              </w:tc>
              <w:tc>
                <w:tcPr>
                  <w:tcW w:w="667" w:type="pct"/>
                  <w:shd w:val="clear" w:color="auto" w:fill="auto"/>
                  <w:vAlign w:val="center"/>
                </w:tcPr>
                <w:p>
                  <w:pPr>
                    <w:adjustRightInd w:val="0"/>
                    <w:snapToGrid w:val="0"/>
                    <w:jc w:val="center"/>
                    <w:rPr>
                      <w:bCs/>
                      <w:szCs w:val="21"/>
                    </w:rPr>
                  </w:pPr>
                  <w:r>
                    <w:rPr>
                      <w:rFonts w:hint="eastAsia"/>
                      <w:bCs/>
                      <w:szCs w:val="21"/>
                    </w:rPr>
                    <w:t>/</w:t>
                  </w:r>
                </w:p>
              </w:tc>
            </w:tr>
          </w:tbl>
          <w:p>
            <w:pPr>
              <w:adjustRightInd w:val="0"/>
              <w:snapToGrid w:val="0"/>
              <w:spacing w:line="360" w:lineRule="auto"/>
              <w:rPr>
                <w:b/>
                <w:sz w:val="24"/>
              </w:rPr>
            </w:pPr>
            <w:r>
              <w:rPr>
                <w:rFonts w:hint="eastAsia"/>
                <w:b/>
                <w:sz w:val="24"/>
              </w:rPr>
              <w:t>2、主要能源消耗</w:t>
            </w:r>
          </w:p>
          <w:p>
            <w:pPr>
              <w:adjustRightInd w:val="0"/>
              <w:snapToGrid w:val="0"/>
              <w:spacing w:line="360" w:lineRule="auto"/>
              <w:ind w:firstLine="480" w:firstLineChars="200"/>
              <w:rPr>
                <w:sz w:val="24"/>
              </w:rPr>
            </w:pPr>
            <w:r>
              <w:rPr>
                <w:rFonts w:hint="eastAsia"/>
                <w:sz w:val="24"/>
              </w:rPr>
              <w:t>项目运营期使用的能源主要为电能、水，使用量预计如下：</w:t>
            </w:r>
          </w:p>
          <w:p>
            <w:pPr>
              <w:adjustRightInd w:val="0"/>
              <w:snapToGrid w:val="0"/>
              <w:jc w:val="center"/>
              <w:rPr>
                <w:b/>
                <w:sz w:val="24"/>
              </w:rPr>
            </w:pPr>
            <w:r>
              <w:rPr>
                <w:rFonts w:hint="eastAsia"/>
                <w:b/>
                <w:sz w:val="24"/>
              </w:rPr>
              <w:t>表2</w:t>
            </w:r>
            <w:r>
              <w:rPr>
                <w:b/>
                <w:sz w:val="24"/>
              </w:rPr>
              <w:t xml:space="preserve">.5-3  </w:t>
            </w:r>
            <w:r>
              <w:rPr>
                <w:rFonts w:hint="eastAsia"/>
                <w:b/>
                <w:sz w:val="24"/>
              </w:rPr>
              <w:t>项目主要能源消耗情况一览表</w:t>
            </w:r>
          </w:p>
          <w:tbl>
            <w:tblPr>
              <w:tblStyle w:val="3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53"/>
              <w:gridCol w:w="2788"/>
              <w:gridCol w:w="40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9" w:type="pct"/>
                </w:tcPr>
                <w:p>
                  <w:pPr>
                    <w:adjustRightInd w:val="0"/>
                    <w:snapToGrid w:val="0"/>
                    <w:jc w:val="center"/>
                    <w:rPr>
                      <w:b/>
                      <w:szCs w:val="21"/>
                    </w:rPr>
                  </w:pPr>
                  <w:r>
                    <w:rPr>
                      <w:rFonts w:hint="eastAsia"/>
                      <w:b/>
                      <w:szCs w:val="21"/>
                    </w:rPr>
                    <w:t>名称</w:t>
                  </w:r>
                </w:p>
              </w:tc>
              <w:tc>
                <w:tcPr>
                  <w:tcW w:w="1707" w:type="pct"/>
                </w:tcPr>
                <w:p>
                  <w:pPr>
                    <w:adjustRightInd w:val="0"/>
                    <w:snapToGrid w:val="0"/>
                    <w:jc w:val="center"/>
                    <w:rPr>
                      <w:b/>
                      <w:szCs w:val="21"/>
                    </w:rPr>
                  </w:pPr>
                  <w:r>
                    <w:rPr>
                      <w:rFonts w:hint="eastAsia"/>
                      <w:b/>
                      <w:szCs w:val="21"/>
                    </w:rPr>
                    <w:t>用量</w:t>
                  </w:r>
                </w:p>
              </w:tc>
              <w:tc>
                <w:tcPr>
                  <w:tcW w:w="2464" w:type="pct"/>
                </w:tcPr>
                <w:p>
                  <w:pPr>
                    <w:adjustRightInd w:val="0"/>
                    <w:snapToGrid w:val="0"/>
                    <w:jc w:val="center"/>
                    <w:rPr>
                      <w:b/>
                      <w:szCs w:val="21"/>
                    </w:rPr>
                  </w:pPr>
                  <w:r>
                    <w:rPr>
                      <w:rFonts w:hint="eastAsia"/>
                      <w:b/>
                      <w:szCs w:val="21"/>
                    </w:rPr>
                    <w:t>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9" w:type="pct"/>
                </w:tcPr>
                <w:p>
                  <w:pPr>
                    <w:adjustRightInd w:val="0"/>
                    <w:snapToGrid w:val="0"/>
                    <w:jc w:val="center"/>
                    <w:rPr>
                      <w:szCs w:val="21"/>
                    </w:rPr>
                  </w:pPr>
                  <w:r>
                    <w:rPr>
                      <w:rFonts w:hint="eastAsia"/>
                      <w:szCs w:val="21"/>
                    </w:rPr>
                    <w:t>水</w:t>
                  </w:r>
                </w:p>
              </w:tc>
              <w:tc>
                <w:tcPr>
                  <w:tcW w:w="1707" w:type="pct"/>
                </w:tcPr>
                <w:p>
                  <w:pPr>
                    <w:adjustRightInd w:val="0"/>
                    <w:snapToGrid w:val="0"/>
                    <w:jc w:val="center"/>
                    <w:rPr>
                      <w:szCs w:val="21"/>
                    </w:rPr>
                  </w:pPr>
                  <w:r>
                    <w:rPr>
                      <w:szCs w:val="21"/>
                    </w:rPr>
                    <w:t>9800.4</w:t>
                  </w:r>
                  <w:r>
                    <w:rPr>
                      <w:rFonts w:hint="eastAsia"/>
                      <w:szCs w:val="21"/>
                    </w:rPr>
                    <w:t>m³</w:t>
                  </w:r>
                  <w:r>
                    <w:rPr>
                      <w:szCs w:val="21"/>
                    </w:rPr>
                    <w:t>/</w:t>
                  </w:r>
                  <w:r>
                    <w:rPr>
                      <w:rFonts w:hint="eastAsia"/>
                      <w:szCs w:val="21"/>
                    </w:rPr>
                    <w:t>a</w:t>
                  </w:r>
                </w:p>
              </w:tc>
              <w:tc>
                <w:tcPr>
                  <w:tcW w:w="2464" w:type="pct"/>
                </w:tcPr>
                <w:p>
                  <w:pPr>
                    <w:adjustRightInd w:val="0"/>
                    <w:snapToGrid w:val="0"/>
                    <w:jc w:val="center"/>
                    <w:rPr>
                      <w:szCs w:val="21"/>
                    </w:rPr>
                  </w:pPr>
                  <w:r>
                    <w:rPr>
                      <w:rFonts w:hint="eastAsia"/>
                      <w:szCs w:val="21"/>
                    </w:rPr>
                    <w:t>附近山泉水引入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9" w:type="pct"/>
                </w:tcPr>
                <w:p>
                  <w:pPr>
                    <w:adjustRightInd w:val="0"/>
                    <w:snapToGrid w:val="0"/>
                    <w:jc w:val="center"/>
                    <w:rPr>
                      <w:szCs w:val="21"/>
                    </w:rPr>
                  </w:pPr>
                  <w:r>
                    <w:rPr>
                      <w:rFonts w:hint="eastAsia"/>
                      <w:szCs w:val="21"/>
                    </w:rPr>
                    <w:t>电</w:t>
                  </w:r>
                </w:p>
              </w:tc>
              <w:tc>
                <w:tcPr>
                  <w:tcW w:w="1707" w:type="pct"/>
                </w:tcPr>
                <w:p>
                  <w:pPr>
                    <w:adjustRightInd w:val="0"/>
                    <w:snapToGrid w:val="0"/>
                    <w:jc w:val="center"/>
                    <w:rPr>
                      <w:szCs w:val="21"/>
                    </w:rPr>
                  </w:pPr>
                  <w:r>
                    <w:rPr>
                      <w:rFonts w:hint="eastAsia"/>
                      <w:szCs w:val="21"/>
                    </w:rPr>
                    <w:t>5</w:t>
                  </w:r>
                  <w:r>
                    <w:rPr>
                      <w:szCs w:val="21"/>
                    </w:rPr>
                    <w:t>0</w:t>
                  </w:r>
                  <w:r>
                    <w:rPr>
                      <w:rFonts w:hint="eastAsia"/>
                      <w:szCs w:val="21"/>
                    </w:rPr>
                    <w:t>万kw·h</w:t>
                  </w:r>
                </w:p>
              </w:tc>
              <w:tc>
                <w:tcPr>
                  <w:tcW w:w="2464" w:type="pct"/>
                </w:tcPr>
                <w:p>
                  <w:pPr>
                    <w:adjustRightInd w:val="0"/>
                    <w:snapToGrid w:val="0"/>
                    <w:jc w:val="center"/>
                    <w:rPr>
                      <w:szCs w:val="21"/>
                    </w:rPr>
                  </w:pPr>
                  <w:r>
                    <w:rPr>
                      <w:rFonts w:hint="eastAsia"/>
                      <w:szCs w:val="21"/>
                    </w:rPr>
                    <w:t>白济汛乡供电电网</w:t>
                  </w:r>
                </w:p>
              </w:tc>
            </w:tr>
          </w:tbl>
          <w:p>
            <w:pPr>
              <w:spacing w:line="360" w:lineRule="auto"/>
              <w:rPr>
                <w:rFonts w:ascii="黑体" w:hAnsi="黑体" w:eastAsia="黑体"/>
                <w:b/>
                <w:bCs/>
                <w:kern w:val="0"/>
                <w:sz w:val="24"/>
              </w:rPr>
            </w:pPr>
            <w:r>
              <w:rPr>
                <w:rFonts w:hint="eastAsia" w:ascii="黑体" w:hAnsi="黑体" w:eastAsia="黑体"/>
                <w:b/>
                <w:bCs/>
                <w:kern w:val="0"/>
                <w:sz w:val="24"/>
              </w:rPr>
              <w:t>（六）工作制度及劳动定员</w:t>
            </w:r>
          </w:p>
          <w:p>
            <w:pPr>
              <w:adjustRightInd w:val="0"/>
              <w:snapToGrid w:val="0"/>
              <w:spacing w:line="360" w:lineRule="auto"/>
              <w:ind w:firstLine="480" w:firstLineChars="200"/>
              <w:rPr>
                <w:rFonts w:ascii="黑体" w:hAnsi="黑体" w:eastAsia="黑体"/>
                <w:b/>
                <w:bCs/>
                <w:kern w:val="0"/>
                <w:sz w:val="24"/>
              </w:rPr>
            </w:pPr>
            <w:r>
              <w:rPr>
                <w:rFonts w:hint="eastAsia"/>
                <w:sz w:val="24"/>
              </w:rPr>
              <w:t>项目运营期计划年生产3</w:t>
            </w:r>
            <w:r>
              <w:rPr>
                <w:sz w:val="24"/>
              </w:rPr>
              <w:t>00</w:t>
            </w:r>
            <w:r>
              <w:rPr>
                <w:rFonts w:hint="eastAsia"/>
                <w:sz w:val="24"/>
              </w:rPr>
              <w:t>d，采取单班制，每班8人，计划劳动定员</w:t>
            </w:r>
            <w:r>
              <w:rPr>
                <w:sz w:val="24"/>
              </w:rPr>
              <w:t>5</w:t>
            </w:r>
            <w:r>
              <w:rPr>
                <w:rFonts w:hint="eastAsia"/>
                <w:sz w:val="24"/>
              </w:rPr>
              <w:t>人，餐饮活动均在项目区内进行，1人轮岗在项目区内住宿值守，其余人员不在项目区内住宿。</w:t>
            </w:r>
          </w:p>
          <w:p>
            <w:pPr>
              <w:adjustRightInd w:val="0"/>
              <w:snapToGrid w:val="0"/>
              <w:spacing w:line="360" w:lineRule="auto"/>
              <w:rPr>
                <w:rFonts w:ascii="黑体" w:hAnsi="黑体" w:eastAsia="黑体"/>
                <w:b/>
                <w:bCs/>
                <w:kern w:val="0"/>
                <w:sz w:val="24"/>
              </w:rPr>
            </w:pPr>
            <w:bookmarkStart w:id="27" w:name="_Hlk143243716"/>
            <w:r>
              <w:rPr>
                <w:rFonts w:hint="eastAsia" w:ascii="黑体" w:hAnsi="黑体" w:eastAsia="黑体"/>
                <w:b/>
                <w:bCs/>
                <w:kern w:val="0"/>
                <w:sz w:val="24"/>
              </w:rPr>
              <w:t>（七）水平衡分析</w:t>
            </w:r>
          </w:p>
          <w:p>
            <w:pPr>
              <w:adjustRightInd w:val="0"/>
              <w:snapToGrid w:val="0"/>
              <w:spacing w:line="360" w:lineRule="auto"/>
              <w:rPr>
                <w:sz w:val="24"/>
              </w:rPr>
            </w:pPr>
            <w:bookmarkStart w:id="28" w:name="_Hlk143105829"/>
            <w:bookmarkStart w:id="29" w:name="_Hlk143242605"/>
            <w:r>
              <w:rPr>
                <w:rFonts w:hint="eastAsia"/>
                <w:b/>
                <w:sz w:val="24"/>
              </w:rPr>
              <w:t>1、生活给排水</w:t>
            </w:r>
          </w:p>
          <w:p>
            <w:pPr>
              <w:adjustRightInd w:val="0"/>
              <w:snapToGrid w:val="0"/>
              <w:spacing w:line="360" w:lineRule="auto"/>
              <w:ind w:firstLine="480" w:firstLineChars="200"/>
              <w:rPr>
                <w:sz w:val="24"/>
              </w:rPr>
            </w:pPr>
            <w:r>
              <w:rPr>
                <w:rFonts w:hint="eastAsia"/>
                <w:sz w:val="24"/>
              </w:rPr>
              <w:t>项目运营期劳动定员</w:t>
            </w:r>
            <w:r>
              <w:rPr>
                <w:sz w:val="24"/>
              </w:rPr>
              <w:t>5</w:t>
            </w:r>
            <w:r>
              <w:rPr>
                <w:rFonts w:hint="eastAsia"/>
                <w:sz w:val="24"/>
              </w:rPr>
              <w:t>人，其中</w:t>
            </w:r>
            <w:r>
              <w:rPr>
                <w:sz w:val="24"/>
              </w:rPr>
              <w:t>1</w:t>
            </w:r>
            <w:r>
              <w:rPr>
                <w:rFonts w:hint="eastAsia"/>
                <w:sz w:val="24"/>
              </w:rPr>
              <w:t>人在项目区内轮岗值守，参考《云南省地方标准 用水定额》（DB 53/T 168-2019），住宿人员生活用水按100L/人·d计，其余人员用水量按50L/人·d计，其中餐饮用水按20L/人·d计。经计算，项目运营期生活用水量约</w:t>
            </w:r>
            <w:r>
              <w:rPr>
                <w:sz w:val="24"/>
              </w:rPr>
              <w:t>0.3</w:t>
            </w:r>
            <w:r>
              <w:rPr>
                <w:rFonts w:hint="eastAsia"/>
                <w:sz w:val="24"/>
              </w:rPr>
              <w:t>m³/d，</w:t>
            </w:r>
            <w:r>
              <w:rPr>
                <w:sz w:val="24"/>
              </w:rPr>
              <w:t>90.0</w:t>
            </w:r>
            <w:r>
              <w:rPr>
                <w:rFonts w:hint="eastAsia"/>
                <w:sz w:val="24"/>
              </w:rPr>
              <w:t>m³/a，其中，餐饮用水约</w:t>
            </w:r>
            <w:r>
              <w:rPr>
                <w:sz w:val="24"/>
              </w:rPr>
              <w:t>0.1</w:t>
            </w:r>
            <w:r>
              <w:rPr>
                <w:rFonts w:hint="eastAsia"/>
                <w:sz w:val="24"/>
              </w:rPr>
              <w:t>m³/d，</w:t>
            </w:r>
            <w:r>
              <w:rPr>
                <w:sz w:val="24"/>
              </w:rPr>
              <w:t>30.0</w:t>
            </w:r>
            <w:r>
              <w:rPr>
                <w:rFonts w:hint="eastAsia"/>
                <w:sz w:val="24"/>
              </w:rPr>
              <w:t>m³/a。</w:t>
            </w:r>
          </w:p>
          <w:p>
            <w:pPr>
              <w:adjustRightInd w:val="0"/>
              <w:snapToGrid w:val="0"/>
              <w:spacing w:line="360" w:lineRule="auto"/>
              <w:ind w:firstLine="480" w:firstLineChars="200"/>
              <w:rPr>
                <w:color w:val="0000FF"/>
                <w:sz w:val="24"/>
              </w:rPr>
            </w:pPr>
            <w:r>
              <w:rPr>
                <w:rFonts w:hint="eastAsia"/>
                <w:color w:val="0000FF"/>
                <w:sz w:val="24"/>
              </w:rPr>
              <w:t>项目运营期生活用水废水率按80%计。经计算，项目运营期生活污水产生量约</w:t>
            </w:r>
            <w:r>
              <w:rPr>
                <w:color w:val="0000FF"/>
                <w:sz w:val="24"/>
              </w:rPr>
              <w:t>0.24</w:t>
            </w:r>
            <w:r>
              <w:rPr>
                <w:rFonts w:hint="eastAsia"/>
                <w:color w:val="0000FF"/>
                <w:sz w:val="24"/>
              </w:rPr>
              <w:t>m³/d，</w:t>
            </w:r>
            <w:r>
              <w:rPr>
                <w:color w:val="0000FF"/>
                <w:sz w:val="24"/>
              </w:rPr>
              <w:t>72.0</w:t>
            </w:r>
            <w:r>
              <w:rPr>
                <w:rFonts w:hint="eastAsia"/>
                <w:color w:val="0000FF"/>
                <w:sz w:val="24"/>
              </w:rPr>
              <w:t>m³/a，其中，餐饮废水产生量约</w:t>
            </w:r>
            <w:r>
              <w:rPr>
                <w:color w:val="0000FF"/>
                <w:sz w:val="24"/>
              </w:rPr>
              <w:t>0.08</w:t>
            </w:r>
            <w:r>
              <w:rPr>
                <w:rFonts w:hint="eastAsia"/>
                <w:color w:val="0000FF"/>
                <w:sz w:val="24"/>
              </w:rPr>
              <w:t>m³/d，</w:t>
            </w:r>
            <w:r>
              <w:rPr>
                <w:color w:val="0000FF"/>
                <w:sz w:val="24"/>
              </w:rPr>
              <w:t>24.0</w:t>
            </w:r>
            <w:r>
              <w:rPr>
                <w:rFonts w:hint="eastAsia"/>
                <w:color w:val="0000FF"/>
                <w:sz w:val="24"/>
              </w:rPr>
              <w:t>m³/a。</w:t>
            </w:r>
          </w:p>
          <w:p>
            <w:pPr>
              <w:adjustRightInd w:val="0"/>
              <w:snapToGrid w:val="0"/>
              <w:spacing w:line="360" w:lineRule="auto"/>
              <w:ind w:firstLine="480" w:firstLineChars="200"/>
              <w:rPr>
                <w:color w:val="0000FF"/>
                <w:sz w:val="24"/>
              </w:rPr>
            </w:pPr>
            <w:r>
              <w:rPr>
                <w:rFonts w:hint="eastAsia"/>
                <w:color w:val="0000FF"/>
                <w:sz w:val="24"/>
              </w:rPr>
              <w:t>项目运营期生活污水经化粪池收集沉淀处理后上清液于清水池（2m³）内收集暂存，回用于洗砂生产线，不向外环境排放。</w:t>
            </w:r>
          </w:p>
          <w:p>
            <w:pPr>
              <w:adjustRightInd w:val="0"/>
              <w:snapToGrid w:val="0"/>
              <w:spacing w:line="360" w:lineRule="auto"/>
              <w:rPr>
                <w:b/>
                <w:sz w:val="24"/>
              </w:rPr>
            </w:pPr>
            <w:r>
              <w:rPr>
                <w:b/>
                <w:sz w:val="24"/>
              </w:rPr>
              <w:t>2</w:t>
            </w:r>
            <w:r>
              <w:rPr>
                <w:rFonts w:hint="eastAsia"/>
                <w:b/>
                <w:sz w:val="24"/>
              </w:rPr>
              <w:t>、生产给排水</w:t>
            </w:r>
          </w:p>
          <w:p>
            <w:pPr>
              <w:adjustRightInd w:val="0"/>
              <w:snapToGrid w:val="0"/>
              <w:spacing w:line="360" w:lineRule="auto"/>
              <w:rPr>
                <w:b/>
                <w:sz w:val="24"/>
              </w:rPr>
            </w:pPr>
            <w:r>
              <w:rPr>
                <w:rFonts w:hint="eastAsia"/>
                <w:b/>
                <w:sz w:val="24"/>
              </w:rPr>
              <w:t>（1）洗砂给排水</w:t>
            </w:r>
          </w:p>
          <w:p>
            <w:pPr>
              <w:adjustRightInd w:val="0"/>
              <w:snapToGrid w:val="0"/>
              <w:spacing w:line="360" w:lineRule="auto"/>
              <w:ind w:firstLine="480" w:firstLineChars="200"/>
              <w:rPr>
                <w:sz w:val="24"/>
              </w:rPr>
            </w:pPr>
            <w:r>
              <w:rPr>
                <w:rFonts w:hint="eastAsia"/>
                <w:sz w:val="24"/>
              </w:rPr>
              <w:t>项目运营期砂石料经破碎筛分后由传送带输送至洗砂机对粉末、淤泥进行清洗。根据建设单位提供设备资料，运营期洗砂机用水约为进料的1</w:t>
            </w:r>
            <w:r>
              <w:rPr>
                <w:sz w:val="24"/>
              </w:rPr>
              <w:t>.5</w:t>
            </w:r>
            <w:r>
              <w:rPr>
                <w:rFonts w:hint="eastAsia"/>
                <w:sz w:val="24"/>
              </w:rPr>
              <w:t>倍。项目运营期洗砂机合计进料3万t</w:t>
            </w:r>
            <w:r>
              <w:rPr>
                <w:sz w:val="24"/>
              </w:rPr>
              <w:t>/</w:t>
            </w:r>
            <w:r>
              <w:rPr>
                <w:rFonts w:hint="eastAsia"/>
                <w:sz w:val="24"/>
              </w:rPr>
              <w:t>a（含砂量取8</w:t>
            </w:r>
            <w:r>
              <w:rPr>
                <w:sz w:val="24"/>
              </w:rPr>
              <w:t>0%</w:t>
            </w:r>
            <w:r>
              <w:rPr>
                <w:rFonts w:hint="eastAsia"/>
                <w:sz w:val="24"/>
              </w:rPr>
              <w:t>），折合1</w:t>
            </w:r>
            <w:r>
              <w:rPr>
                <w:sz w:val="24"/>
              </w:rPr>
              <w:t>00</w:t>
            </w:r>
            <w:r>
              <w:rPr>
                <w:rFonts w:hint="eastAsia"/>
                <w:sz w:val="24"/>
              </w:rPr>
              <w:t>t</w:t>
            </w:r>
            <w:r>
              <w:rPr>
                <w:sz w:val="24"/>
              </w:rPr>
              <w:t>/</w:t>
            </w:r>
            <w:r>
              <w:rPr>
                <w:rFonts w:hint="eastAsia"/>
                <w:sz w:val="24"/>
              </w:rPr>
              <w:t>d，则项目运营期洗砂机进水量约1</w:t>
            </w:r>
            <w:r>
              <w:rPr>
                <w:sz w:val="24"/>
              </w:rPr>
              <w:t>50</w:t>
            </w:r>
            <w:r>
              <w:rPr>
                <w:rFonts w:hint="eastAsia"/>
                <w:sz w:val="24"/>
              </w:rPr>
              <w:t>m³</w:t>
            </w:r>
            <w:r>
              <w:rPr>
                <w:sz w:val="24"/>
              </w:rPr>
              <w:t>/</w:t>
            </w:r>
            <w:r>
              <w:rPr>
                <w:rFonts w:hint="eastAsia"/>
                <w:sz w:val="24"/>
              </w:rPr>
              <w:t>d，4</w:t>
            </w:r>
            <w:r>
              <w:rPr>
                <w:sz w:val="24"/>
              </w:rPr>
              <w:t>.5</w:t>
            </w:r>
            <w:r>
              <w:rPr>
                <w:rFonts w:hint="eastAsia"/>
                <w:sz w:val="24"/>
              </w:rPr>
              <w:t>万m³</w:t>
            </w:r>
            <w:r>
              <w:rPr>
                <w:sz w:val="24"/>
              </w:rPr>
              <w:t>/</w:t>
            </w:r>
            <w:r>
              <w:rPr>
                <w:rFonts w:hint="eastAsia"/>
                <w:sz w:val="24"/>
              </w:rPr>
              <w:t>a。</w:t>
            </w:r>
          </w:p>
          <w:p>
            <w:pPr>
              <w:adjustRightInd w:val="0"/>
              <w:snapToGrid w:val="0"/>
              <w:spacing w:line="360" w:lineRule="auto"/>
              <w:ind w:firstLine="480" w:firstLineChars="200"/>
              <w:rPr>
                <w:sz w:val="24"/>
              </w:rPr>
            </w:pPr>
            <w:r>
              <w:rPr>
                <w:rFonts w:hint="eastAsia"/>
                <w:sz w:val="24"/>
              </w:rPr>
              <w:t>项目运营期洗砂机排水率按8</w:t>
            </w:r>
            <w:r>
              <w:rPr>
                <w:sz w:val="24"/>
              </w:rPr>
              <w:t>0%</w:t>
            </w:r>
            <w:r>
              <w:rPr>
                <w:rFonts w:hint="eastAsia"/>
                <w:sz w:val="24"/>
              </w:rPr>
              <w:t>计，其余蒸发损耗及由机制砂带走。根据计算，项目运营期洗砂机排水量约1</w:t>
            </w:r>
            <w:r>
              <w:rPr>
                <w:sz w:val="24"/>
              </w:rPr>
              <w:t>20</w:t>
            </w:r>
            <w:r>
              <w:rPr>
                <w:rFonts w:hint="eastAsia"/>
                <w:sz w:val="24"/>
              </w:rPr>
              <w:t>m³</w:t>
            </w:r>
            <w:r>
              <w:rPr>
                <w:sz w:val="24"/>
              </w:rPr>
              <w:t>/</w:t>
            </w:r>
            <w:r>
              <w:rPr>
                <w:rFonts w:hint="eastAsia"/>
                <w:sz w:val="24"/>
              </w:rPr>
              <w:t>d，3</w:t>
            </w:r>
            <w:r>
              <w:rPr>
                <w:sz w:val="24"/>
              </w:rPr>
              <w:t>.6</w:t>
            </w:r>
            <w:r>
              <w:rPr>
                <w:rFonts w:hint="eastAsia"/>
                <w:sz w:val="24"/>
              </w:rPr>
              <w:t>万m³</w:t>
            </w:r>
            <w:r>
              <w:rPr>
                <w:sz w:val="24"/>
              </w:rPr>
              <w:t>/</w:t>
            </w:r>
            <w:r>
              <w:rPr>
                <w:rFonts w:hint="eastAsia"/>
                <w:sz w:val="24"/>
              </w:rPr>
              <w:t>a，其三级沉淀池收集沉淀处理后上清液排入清水池回用于制砂生产线，不外排。</w:t>
            </w:r>
          </w:p>
          <w:p>
            <w:pPr>
              <w:adjustRightInd w:val="0"/>
              <w:snapToGrid w:val="0"/>
              <w:spacing w:line="360" w:lineRule="auto"/>
              <w:rPr>
                <w:b/>
                <w:color w:val="0000FF"/>
                <w:sz w:val="24"/>
              </w:rPr>
            </w:pPr>
            <w:r>
              <w:rPr>
                <w:rFonts w:hint="eastAsia"/>
                <w:b/>
                <w:sz w:val="24"/>
              </w:rPr>
              <w:t>（</w:t>
            </w:r>
            <w:r>
              <w:rPr>
                <w:rFonts w:hint="eastAsia"/>
                <w:b/>
                <w:color w:val="0000FF"/>
                <w:sz w:val="24"/>
              </w:rPr>
              <w:t>2）降尘用水</w:t>
            </w:r>
          </w:p>
          <w:p>
            <w:pPr>
              <w:adjustRightInd w:val="0"/>
              <w:snapToGrid w:val="0"/>
              <w:spacing w:line="360" w:lineRule="auto"/>
              <w:ind w:firstLine="480" w:firstLineChars="200"/>
              <w:rPr>
                <w:color w:val="0000FF"/>
                <w:sz w:val="24"/>
              </w:rPr>
            </w:pPr>
            <w:r>
              <w:rPr>
                <w:rFonts w:hint="eastAsia" w:ascii="宋体" w:hAnsi="宋体"/>
                <w:color w:val="0000FF"/>
                <w:sz w:val="24"/>
              </w:rPr>
              <w:t>①喷淋系统给排水</w:t>
            </w:r>
          </w:p>
          <w:p>
            <w:pPr>
              <w:adjustRightInd w:val="0"/>
              <w:snapToGrid w:val="0"/>
              <w:spacing w:line="360" w:lineRule="auto"/>
              <w:ind w:firstLine="480" w:firstLineChars="200"/>
              <w:rPr>
                <w:color w:val="0000FF"/>
                <w:sz w:val="24"/>
              </w:rPr>
            </w:pPr>
            <w:r>
              <w:rPr>
                <w:rFonts w:hint="eastAsia"/>
                <w:color w:val="0000FF"/>
                <w:sz w:val="24"/>
              </w:rPr>
              <w:t>项目运营期配置</w:t>
            </w:r>
            <w:r>
              <w:rPr>
                <w:color w:val="0000FF"/>
                <w:sz w:val="24"/>
              </w:rPr>
              <w:t>2</w:t>
            </w:r>
            <w:r>
              <w:rPr>
                <w:rFonts w:hint="eastAsia"/>
                <w:color w:val="0000FF"/>
                <w:sz w:val="24"/>
              </w:rPr>
              <w:t>套喷淋系统对原料堆棚、成品堆棚产生的粉尘进行控制。喷淋系统给水量按0</w:t>
            </w:r>
            <w:r>
              <w:rPr>
                <w:color w:val="0000FF"/>
                <w:sz w:val="24"/>
              </w:rPr>
              <w:t>.05</w:t>
            </w:r>
            <w:r>
              <w:rPr>
                <w:rFonts w:hint="eastAsia"/>
                <w:color w:val="0000FF"/>
                <w:sz w:val="24"/>
              </w:rPr>
              <w:t>m³</w:t>
            </w:r>
            <w:r>
              <w:rPr>
                <w:color w:val="0000FF"/>
                <w:sz w:val="24"/>
              </w:rPr>
              <w:t>/</w:t>
            </w:r>
            <w:r>
              <w:rPr>
                <w:rFonts w:hint="eastAsia"/>
                <w:color w:val="0000FF"/>
                <w:sz w:val="24"/>
              </w:rPr>
              <w:t>h·套计。经计算，项目运营期喷淋系统给水量约</w:t>
            </w:r>
            <w:r>
              <w:rPr>
                <w:color w:val="0000FF"/>
                <w:sz w:val="24"/>
              </w:rPr>
              <w:t>0.8</w:t>
            </w:r>
            <w:r>
              <w:rPr>
                <w:rFonts w:hint="eastAsia"/>
                <w:color w:val="0000FF"/>
                <w:sz w:val="24"/>
              </w:rPr>
              <w:t>m³</w:t>
            </w:r>
            <w:r>
              <w:rPr>
                <w:color w:val="0000FF"/>
                <w:sz w:val="24"/>
              </w:rPr>
              <w:t>/</w:t>
            </w:r>
            <w:r>
              <w:rPr>
                <w:rFonts w:hint="eastAsia"/>
                <w:color w:val="0000FF"/>
                <w:sz w:val="24"/>
              </w:rPr>
              <w:t>d，</w:t>
            </w:r>
            <w:r>
              <w:rPr>
                <w:color w:val="0000FF"/>
                <w:sz w:val="24"/>
              </w:rPr>
              <w:t>240</w:t>
            </w:r>
            <w:r>
              <w:rPr>
                <w:rFonts w:hint="eastAsia"/>
                <w:color w:val="0000FF"/>
                <w:sz w:val="24"/>
              </w:rPr>
              <w:t>m³</w:t>
            </w:r>
            <w:r>
              <w:rPr>
                <w:color w:val="0000FF"/>
                <w:sz w:val="24"/>
              </w:rPr>
              <w:t>/</w:t>
            </w:r>
            <w:r>
              <w:rPr>
                <w:rFonts w:hint="eastAsia"/>
                <w:color w:val="0000FF"/>
                <w:sz w:val="24"/>
              </w:rPr>
              <w:t>a。喷淋系统给水部分经蒸发后进入大气环境，部分由砂石料带走进入下一工段，整体无废水产生。</w:t>
            </w:r>
          </w:p>
          <w:p>
            <w:pPr>
              <w:adjustRightInd w:val="0"/>
              <w:snapToGrid w:val="0"/>
              <w:spacing w:line="360" w:lineRule="auto"/>
              <w:ind w:firstLine="480" w:firstLineChars="200"/>
              <w:rPr>
                <w:color w:val="0000FF"/>
                <w:sz w:val="24"/>
              </w:rPr>
            </w:pPr>
            <w:r>
              <w:rPr>
                <w:rFonts w:hint="eastAsia" w:ascii="宋体" w:hAnsi="宋体"/>
                <w:color w:val="0000FF"/>
                <w:sz w:val="24"/>
              </w:rPr>
              <w:t>②</w:t>
            </w:r>
            <w:r>
              <w:rPr>
                <w:rFonts w:hint="eastAsia"/>
                <w:color w:val="0000FF"/>
                <w:sz w:val="24"/>
              </w:rPr>
              <w:t>雾炮机给排水</w:t>
            </w:r>
          </w:p>
          <w:p>
            <w:pPr>
              <w:adjustRightInd w:val="0"/>
              <w:snapToGrid w:val="0"/>
              <w:spacing w:line="360" w:lineRule="auto"/>
              <w:ind w:firstLine="480" w:firstLineChars="200"/>
              <w:rPr>
                <w:color w:val="0000FF"/>
                <w:sz w:val="24"/>
              </w:rPr>
            </w:pPr>
            <w:r>
              <w:rPr>
                <w:rFonts w:hint="eastAsia"/>
                <w:color w:val="0000FF"/>
                <w:sz w:val="24"/>
              </w:rPr>
              <w:t>项目运营期配置移动式雾炮机1台晴天对项目区及运输道路进行雾化降尘。雾炮机用水量按</w:t>
            </w:r>
            <w:r>
              <w:rPr>
                <w:color w:val="0000FF"/>
                <w:sz w:val="24"/>
              </w:rPr>
              <w:t>0.25</w:t>
            </w:r>
            <w:r>
              <w:rPr>
                <w:rFonts w:hint="eastAsia"/>
                <w:color w:val="0000FF"/>
                <w:sz w:val="24"/>
              </w:rPr>
              <w:t>m³</w:t>
            </w:r>
            <w:r>
              <w:rPr>
                <w:color w:val="0000FF"/>
                <w:sz w:val="24"/>
              </w:rPr>
              <w:t>/</w:t>
            </w:r>
            <w:r>
              <w:rPr>
                <w:rFonts w:hint="eastAsia"/>
                <w:color w:val="0000FF"/>
                <w:sz w:val="24"/>
              </w:rPr>
              <w:t>h计，则运营期晴天雾炮机给水量约2</w:t>
            </w:r>
            <w:r>
              <w:rPr>
                <w:color w:val="0000FF"/>
                <w:sz w:val="24"/>
              </w:rPr>
              <w:t>.0</w:t>
            </w:r>
            <w:r>
              <w:rPr>
                <w:rFonts w:hint="eastAsia"/>
                <w:color w:val="0000FF"/>
                <w:sz w:val="24"/>
              </w:rPr>
              <w:t>m³</w:t>
            </w:r>
            <w:r>
              <w:rPr>
                <w:color w:val="0000FF"/>
                <w:sz w:val="24"/>
              </w:rPr>
              <w:t>/</w:t>
            </w:r>
            <w:r>
              <w:rPr>
                <w:rFonts w:hint="eastAsia"/>
                <w:color w:val="0000FF"/>
                <w:sz w:val="24"/>
              </w:rPr>
              <w:t>d，</w:t>
            </w:r>
            <w:r>
              <w:rPr>
                <w:color w:val="0000FF"/>
                <w:sz w:val="24"/>
              </w:rPr>
              <w:t>400</w:t>
            </w:r>
            <w:r>
              <w:rPr>
                <w:rFonts w:hint="eastAsia"/>
                <w:color w:val="0000FF"/>
                <w:sz w:val="24"/>
              </w:rPr>
              <w:t>m³</w:t>
            </w:r>
            <w:r>
              <w:rPr>
                <w:color w:val="0000FF"/>
                <w:sz w:val="24"/>
              </w:rPr>
              <w:t>/</w:t>
            </w:r>
            <w:r>
              <w:rPr>
                <w:rFonts w:hint="eastAsia"/>
                <w:color w:val="0000FF"/>
                <w:sz w:val="24"/>
              </w:rPr>
              <w:t>a（晴天按2</w:t>
            </w:r>
            <w:r>
              <w:rPr>
                <w:color w:val="0000FF"/>
                <w:sz w:val="24"/>
              </w:rPr>
              <w:t>00</w:t>
            </w:r>
            <w:r>
              <w:rPr>
                <w:rFonts w:hint="eastAsia"/>
                <w:color w:val="0000FF"/>
                <w:sz w:val="24"/>
              </w:rPr>
              <w:t>d</w:t>
            </w:r>
            <w:r>
              <w:rPr>
                <w:color w:val="0000FF"/>
                <w:sz w:val="24"/>
              </w:rPr>
              <w:t>/</w:t>
            </w:r>
            <w:r>
              <w:rPr>
                <w:rFonts w:hint="eastAsia"/>
                <w:color w:val="0000FF"/>
                <w:sz w:val="24"/>
              </w:rPr>
              <w:t>a计）。晴天雾炮机给水全部经蒸发进入大气环境，无废水产生。</w:t>
            </w:r>
          </w:p>
          <w:p>
            <w:pPr>
              <w:adjustRightInd w:val="0"/>
              <w:snapToGrid w:val="0"/>
              <w:spacing w:line="360" w:lineRule="auto"/>
              <w:rPr>
                <w:sz w:val="24"/>
              </w:rPr>
            </w:pPr>
            <w:r>
              <w:rPr>
                <w:rFonts w:hint="eastAsia"/>
                <w:b/>
                <w:sz w:val="24"/>
              </w:rPr>
              <w:t>（3）车辆冲洗用水</w:t>
            </w:r>
          </w:p>
          <w:p>
            <w:pPr>
              <w:adjustRightInd w:val="0"/>
              <w:snapToGrid w:val="0"/>
              <w:spacing w:line="360" w:lineRule="auto"/>
              <w:ind w:firstLine="480" w:firstLineChars="200"/>
              <w:rPr>
                <w:sz w:val="24"/>
              </w:rPr>
            </w:pPr>
            <w:r>
              <w:rPr>
                <w:rFonts w:hint="eastAsia"/>
                <w:sz w:val="24"/>
              </w:rPr>
              <w:t>项目运营期需对运输车辆进行冲洗，根据产量估算，项目运营期运输车辆进出车次约6次/d计。参考《云南省地方标准 用水定额》（DB 53/T 168-2019），车辆冲洗用水按40L/（车·次）计，经计算，项目运营期车辆冲洗用水量约0</w:t>
            </w:r>
            <w:r>
              <w:rPr>
                <w:sz w:val="24"/>
              </w:rPr>
              <w:t>.24</w:t>
            </w:r>
            <w:r>
              <w:rPr>
                <w:rFonts w:hint="eastAsia"/>
                <w:sz w:val="24"/>
              </w:rPr>
              <w:t>m³</w:t>
            </w:r>
            <w:r>
              <w:rPr>
                <w:sz w:val="24"/>
              </w:rPr>
              <w:t>/</w:t>
            </w:r>
            <w:r>
              <w:rPr>
                <w:rFonts w:hint="eastAsia"/>
                <w:sz w:val="24"/>
              </w:rPr>
              <w:t>d，7</w:t>
            </w:r>
            <w:r>
              <w:rPr>
                <w:sz w:val="24"/>
              </w:rPr>
              <w:t>2.0</w:t>
            </w:r>
            <w:r>
              <w:rPr>
                <w:rFonts w:hint="eastAsia"/>
                <w:sz w:val="24"/>
              </w:rPr>
              <w:t>m³</w:t>
            </w:r>
            <w:r>
              <w:rPr>
                <w:sz w:val="24"/>
              </w:rPr>
              <w:t>/</w:t>
            </w:r>
            <w:r>
              <w:rPr>
                <w:rFonts w:hint="eastAsia"/>
                <w:sz w:val="24"/>
              </w:rPr>
              <w:t>a。车辆轮胎冲洗用水排水率按8</w:t>
            </w:r>
            <w:r>
              <w:rPr>
                <w:sz w:val="24"/>
              </w:rPr>
              <w:t>0%</w:t>
            </w:r>
            <w:r>
              <w:rPr>
                <w:rFonts w:hint="eastAsia"/>
                <w:sz w:val="24"/>
              </w:rPr>
              <w:t>计，则车辆冲洗废水产生量约0</w:t>
            </w:r>
            <w:r>
              <w:rPr>
                <w:sz w:val="24"/>
              </w:rPr>
              <w:t>.192</w:t>
            </w:r>
            <w:r>
              <w:rPr>
                <w:rFonts w:hint="eastAsia"/>
                <w:sz w:val="24"/>
              </w:rPr>
              <w:t>m³</w:t>
            </w:r>
            <w:r>
              <w:rPr>
                <w:sz w:val="24"/>
              </w:rPr>
              <w:t>/</w:t>
            </w:r>
            <w:r>
              <w:rPr>
                <w:rFonts w:hint="eastAsia"/>
                <w:sz w:val="24"/>
              </w:rPr>
              <w:t>d，5</w:t>
            </w:r>
            <w:r>
              <w:rPr>
                <w:sz w:val="24"/>
              </w:rPr>
              <w:t>7.6</w:t>
            </w:r>
            <w:r>
              <w:rPr>
                <w:rFonts w:hint="eastAsia"/>
                <w:sz w:val="24"/>
              </w:rPr>
              <w:t>m³</w:t>
            </w:r>
            <w:r>
              <w:rPr>
                <w:sz w:val="24"/>
              </w:rPr>
              <w:t>/</w:t>
            </w:r>
            <w:r>
              <w:rPr>
                <w:rFonts w:hint="eastAsia"/>
                <w:sz w:val="24"/>
              </w:rPr>
              <w:t>a。</w:t>
            </w:r>
          </w:p>
          <w:p>
            <w:pPr>
              <w:adjustRightInd w:val="0"/>
              <w:snapToGrid w:val="0"/>
              <w:spacing w:line="360" w:lineRule="auto"/>
              <w:ind w:firstLine="480" w:firstLineChars="200"/>
              <w:rPr>
                <w:sz w:val="24"/>
              </w:rPr>
            </w:pPr>
            <w:r>
              <w:rPr>
                <w:rFonts w:hint="eastAsia"/>
                <w:sz w:val="24"/>
              </w:rPr>
              <w:t>项目运营期车辆冲洗废水经收集后排入三级沉淀池，经沉淀处理后于清水池内暂存，回用于制砂工段，不外排。</w:t>
            </w:r>
          </w:p>
          <w:p>
            <w:pPr>
              <w:adjustRightInd w:val="0"/>
              <w:snapToGrid w:val="0"/>
              <w:spacing w:line="360" w:lineRule="auto"/>
              <w:rPr>
                <w:b/>
                <w:sz w:val="24"/>
              </w:rPr>
            </w:pPr>
            <w:r>
              <w:rPr>
                <w:rFonts w:hint="eastAsia"/>
                <w:b/>
                <w:sz w:val="24"/>
              </w:rPr>
              <w:t>（</w:t>
            </w:r>
            <w:r>
              <w:rPr>
                <w:b/>
                <w:sz w:val="24"/>
              </w:rPr>
              <w:t>4</w:t>
            </w:r>
            <w:r>
              <w:rPr>
                <w:rFonts w:hint="eastAsia"/>
                <w:b/>
                <w:sz w:val="24"/>
              </w:rPr>
              <w:t>）厂区道路晴天浇洒用水</w:t>
            </w:r>
          </w:p>
          <w:p>
            <w:pPr>
              <w:adjustRightInd w:val="0"/>
              <w:snapToGrid w:val="0"/>
              <w:spacing w:line="360" w:lineRule="auto"/>
              <w:ind w:firstLine="480" w:firstLineChars="200"/>
              <w:rPr>
                <w:sz w:val="24"/>
              </w:rPr>
            </w:pPr>
            <w:r>
              <w:rPr>
                <w:rFonts w:hint="eastAsia"/>
                <w:sz w:val="24"/>
              </w:rPr>
              <w:t>项目区内运输道路长约1</w:t>
            </w:r>
            <w:r>
              <w:rPr>
                <w:sz w:val="24"/>
              </w:rPr>
              <w:t>10</w:t>
            </w:r>
            <w:r>
              <w:rPr>
                <w:rFonts w:hint="eastAsia"/>
                <w:sz w:val="24"/>
              </w:rPr>
              <w:t>m，路面宽4</w:t>
            </w:r>
            <w:r>
              <w:rPr>
                <w:sz w:val="24"/>
              </w:rPr>
              <w:t>~5</w:t>
            </w:r>
            <w:r>
              <w:rPr>
                <w:rFonts w:hint="eastAsia"/>
                <w:sz w:val="24"/>
              </w:rPr>
              <w:t>m，路面铺设碎石，运营期晴天每天2次对路面进行洒水降尘，路面洒水降尘用水量按1L</w:t>
            </w:r>
            <w:r>
              <w:rPr>
                <w:sz w:val="24"/>
              </w:rPr>
              <w:t>/</w:t>
            </w:r>
            <w:r>
              <w:rPr>
                <w:rFonts w:hint="eastAsia"/>
                <w:sz w:val="24"/>
              </w:rPr>
              <w:t>㎡·次计。经计算，项目运营期晴天路面洒水降尘用水量约0</w:t>
            </w:r>
            <w:r>
              <w:rPr>
                <w:sz w:val="24"/>
              </w:rPr>
              <w:t>.55</w:t>
            </w:r>
            <w:r>
              <w:rPr>
                <w:rFonts w:hint="eastAsia"/>
                <w:sz w:val="24"/>
              </w:rPr>
              <w:t>m³</w:t>
            </w:r>
            <w:r>
              <w:rPr>
                <w:sz w:val="24"/>
              </w:rPr>
              <w:t>/</w:t>
            </w:r>
            <w:r>
              <w:rPr>
                <w:rFonts w:hint="eastAsia"/>
                <w:sz w:val="24"/>
              </w:rPr>
              <w:t>次，1</w:t>
            </w:r>
            <w:r>
              <w:rPr>
                <w:sz w:val="24"/>
              </w:rPr>
              <w:t>.1</w:t>
            </w:r>
            <w:r>
              <w:rPr>
                <w:rFonts w:hint="eastAsia"/>
                <w:sz w:val="24"/>
              </w:rPr>
              <w:t>m³</w:t>
            </w:r>
            <w:r>
              <w:rPr>
                <w:sz w:val="24"/>
              </w:rPr>
              <w:t>/</w:t>
            </w:r>
            <w:r>
              <w:rPr>
                <w:rFonts w:hint="eastAsia"/>
                <w:sz w:val="24"/>
              </w:rPr>
              <w:t>d，2</w:t>
            </w:r>
            <w:r>
              <w:rPr>
                <w:sz w:val="24"/>
              </w:rPr>
              <w:t>20</w:t>
            </w:r>
            <w:r>
              <w:rPr>
                <w:rFonts w:hint="eastAsia"/>
                <w:sz w:val="24"/>
              </w:rPr>
              <w:t>m³</w:t>
            </w:r>
            <w:r>
              <w:rPr>
                <w:sz w:val="24"/>
              </w:rPr>
              <w:t>/</w:t>
            </w:r>
            <w:r>
              <w:rPr>
                <w:rFonts w:hint="eastAsia"/>
                <w:sz w:val="24"/>
              </w:rPr>
              <w:t>a。晴天路面洒水降尘用水经路面吸收后蒸发进入大气环境，无废水产生。</w:t>
            </w:r>
          </w:p>
          <w:p>
            <w:pPr>
              <w:adjustRightInd w:val="0"/>
              <w:snapToGrid w:val="0"/>
              <w:spacing w:line="360" w:lineRule="auto"/>
              <w:rPr>
                <w:b/>
                <w:sz w:val="24"/>
              </w:rPr>
            </w:pPr>
            <w:r>
              <w:rPr>
                <w:rFonts w:hint="eastAsia"/>
                <w:b/>
                <w:sz w:val="24"/>
              </w:rPr>
              <w:t>（5）初期雨水</w:t>
            </w:r>
          </w:p>
          <w:p>
            <w:pPr>
              <w:adjustRightInd w:val="0"/>
              <w:snapToGrid w:val="0"/>
              <w:spacing w:line="360" w:lineRule="auto"/>
              <w:ind w:firstLine="480" w:firstLineChars="200"/>
              <w:rPr>
                <w:sz w:val="24"/>
              </w:rPr>
            </w:pPr>
            <w:r>
              <w:rPr>
                <w:rFonts w:hint="eastAsia"/>
                <w:sz w:val="24"/>
              </w:rPr>
              <w:t>项目运营期雨天汇水面积按8</w:t>
            </w:r>
            <w:r>
              <w:rPr>
                <w:sz w:val="24"/>
              </w:rPr>
              <w:t>36.1</w:t>
            </w:r>
            <w:r>
              <w:rPr>
                <w:rFonts w:hint="eastAsia"/>
                <w:sz w:val="24"/>
              </w:rPr>
              <w:t>㎡计，初期雨水量最大理论值计算如下：</w:t>
            </w:r>
          </w:p>
          <w:p>
            <w:pPr>
              <w:adjustRightInd w:val="0"/>
              <w:snapToGrid w:val="0"/>
              <w:spacing w:line="360" w:lineRule="auto"/>
              <w:ind w:firstLine="480" w:firstLineChars="200"/>
              <w:rPr>
                <w:sz w:val="24"/>
              </w:rPr>
            </w:pPr>
            <w:r>
              <w:rPr>
                <w:rFonts w:hint="eastAsia"/>
                <w:sz w:val="24"/>
              </w:rPr>
              <w:t>雨水径流量按下列公式计算：</w:t>
            </w:r>
          </w:p>
          <w:p>
            <w:pPr>
              <w:adjustRightInd w:val="0"/>
              <w:snapToGrid w:val="0"/>
              <w:spacing w:line="360" w:lineRule="auto"/>
              <w:jc w:val="center"/>
              <w:rPr>
                <w:sz w:val="24"/>
              </w:rPr>
            </w:pPr>
            <w:r>
              <w:drawing>
                <wp:inline distT="0" distB="0" distL="0" distR="0">
                  <wp:extent cx="1032510" cy="257810"/>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1047481" cy="261870"/>
                          </a:xfrm>
                          <a:prstGeom prst="rect">
                            <a:avLst/>
                          </a:prstGeom>
                        </pic:spPr>
                      </pic:pic>
                    </a:graphicData>
                  </a:graphic>
                </wp:inline>
              </w:drawing>
            </w:r>
          </w:p>
          <w:p>
            <w:pPr>
              <w:adjustRightInd w:val="0"/>
              <w:snapToGrid w:val="0"/>
              <w:spacing w:line="360" w:lineRule="auto"/>
              <w:ind w:firstLine="480" w:firstLineChars="200"/>
              <w:rPr>
                <w:sz w:val="24"/>
              </w:rPr>
            </w:pPr>
            <w:r>
              <w:rPr>
                <w:rFonts w:hint="eastAsia"/>
                <w:sz w:val="24"/>
              </w:rPr>
              <w:t>式中：Q—雨水流量，L/s；</w:t>
            </w:r>
          </w:p>
          <w:p>
            <w:pPr>
              <w:adjustRightInd w:val="0"/>
              <w:snapToGrid w:val="0"/>
              <w:spacing w:line="360" w:lineRule="auto"/>
              <w:ind w:firstLine="480" w:firstLineChars="200"/>
              <w:rPr>
                <w:sz w:val="24"/>
              </w:rPr>
            </w:pPr>
            <w:r>
              <w:rPr>
                <w:rFonts w:hint="eastAsia"/>
                <w:sz w:val="24"/>
              </w:rPr>
              <w:t>ψ—径流系数，厂区室外空地、运输道路径流系数取</w:t>
            </w:r>
            <w:r>
              <w:rPr>
                <w:sz w:val="24"/>
              </w:rPr>
              <w:t>0.45</w:t>
            </w:r>
            <w:r>
              <w:rPr>
                <w:rFonts w:hint="eastAsia"/>
                <w:sz w:val="24"/>
              </w:rPr>
              <w:t>；</w:t>
            </w:r>
          </w:p>
          <w:p>
            <w:pPr>
              <w:adjustRightInd w:val="0"/>
              <w:snapToGrid w:val="0"/>
              <w:spacing w:line="360" w:lineRule="auto"/>
              <w:ind w:firstLine="480" w:firstLineChars="200"/>
              <w:rPr>
                <w:sz w:val="24"/>
              </w:rPr>
            </w:pPr>
            <w:r>
              <w:rPr>
                <w:rFonts w:hint="eastAsia"/>
                <w:sz w:val="24"/>
              </w:rPr>
              <w:t>q—暴雨强度，L/s·hm²；</w:t>
            </w:r>
          </w:p>
          <w:p>
            <w:pPr>
              <w:adjustRightInd w:val="0"/>
              <w:snapToGrid w:val="0"/>
              <w:spacing w:line="360" w:lineRule="auto"/>
              <w:ind w:firstLine="480" w:firstLineChars="200"/>
              <w:rPr>
                <w:sz w:val="24"/>
              </w:rPr>
            </w:pPr>
            <w:r>
              <w:rPr>
                <w:rFonts w:hint="eastAsia"/>
                <w:sz w:val="24"/>
              </w:rPr>
              <w:t>F—汇水面积，空地、运输道路等占地面积约</w:t>
            </w:r>
            <w:r>
              <w:rPr>
                <w:sz w:val="24"/>
              </w:rPr>
              <w:t>836.1</w:t>
            </w:r>
            <w:r>
              <w:rPr>
                <w:rFonts w:hint="eastAsia"/>
                <w:sz w:val="24"/>
              </w:rPr>
              <w:t>m²，取</w:t>
            </w:r>
            <w:r>
              <w:rPr>
                <w:sz w:val="24"/>
              </w:rPr>
              <w:t>0.08361</w:t>
            </w:r>
            <w:r>
              <w:rPr>
                <w:rFonts w:hint="eastAsia"/>
                <w:sz w:val="24"/>
              </w:rPr>
              <w:t>hm²。</w:t>
            </w:r>
          </w:p>
          <w:p>
            <w:pPr>
              <w:adjustRightInd w:val="0"/>
              <w:snapToGrid w:val="0"/>
              <w:spacing w:line="360" w:lineRule="auto"/>
              <w:ind w:firstLine="480" w:firstLineChars="200"/>
              <w:rPr>
                <w:sz w:val="24"/>
              </w:rPr>
            </w:pPr>
            <w:r>
              <w:rPr>
                <w:rFonts w:hint="eastAsia"/>
                <w:sz w:val="24"/>
              </w:rPr>
              <w:t>暴雨强度参考如下公式进行计算：</w:t>
            </w:r>
          </w:p>
          <w:p>
            <w:pPr>
              <w:adjustRightInd w:val="0"/>
              <w:snapToGrid w:val="0"/>
              <w:spacing w:line="360" w:lineRule="auto"/>
              <w:jc w:val="center"/>
              <w:rPr>
                <w:sz w:val="24"/>
              </w:rPr>
            </w:pPr>
            <w:r>
              <w:drawing>
                <wp:inline distT="0" distB="0" distL="0" distR="0">
                  <wp:extent cx="2133600" cy="4191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a:stretch>
                            <a:fillRect/>
                          </a:stretch>
                        </pic:blipFill>
                        <pic:spPr>
                          <a:xfrm>
                            <a:off x="0" y="0"/>
                            <a:ext cx="2133600" cy="419100"/>
                          </a:xfrm>
                          <a:prstGeom prst="rect">
                            <a:avLst/>
                          </a:prstGeom>
                        </pic:spPr>
                      </pic:pic>
                    </a:graphicData>
                  </a:graphic>
                </wp:inline>
              </w:drawing>
            </w:r>
          </w:p>
          <w:p>
            <w:pPr>
              <w:adjustRightInd w:val="0"/>
              <w:snapToGrid w:val="0"/>
              <w:spacing w:line="360" w:lineRule="auto"/>
              <w:ind w:firstLine="480" w:firstLineChars="200"/>
              <w:rPr>
                <w:sz w:val="24"/>
              </w:rPr>
            </w:pPr>
            <w:r>
              <w:rPr>
                <w:rFonts w:hint="eastAsia"/>
                <w:sz w:val="24"/>
              </w:rPr>
              <w:t>式中：q—暴雨强度，L/s·hm²；</w:t>
            </w:r>
          </w:p>
          <w:p>
            <w:pPr>
              <w:adjustRightInd w:val="0"/>
              <w:snapToGrid w:val="0"/>
              <w:spacing w:line="360" w:lineRule="auto"/>
              <w:ind w:firstLine="1200" w:firstLineChars="500"/>
              <w:rPr>
                <w:sz w:val="24"/>
              </w:rPr>
            </w:pPr>
            <w:r>
              <w:rPr>
                <w:rFonts w:hint="eastAsia"/>
                <w:sz w:val="24"/>
              </w:rPr>
              <w:t>p—降雨重现期（a），取值2a；</w:t>
            </w:r>
          </w:p>
          <w:p>
            <w:pPr>
              <w:adjustRightInd w:val="0"/>
              <w:snapToGrid w:val="0"/>
              <w:spacing w:line="360" w:lineRule="auto"/>
              <w:ind w:firstLine="1200" w:firstLineChars="500"/>
              <w:rPr>
                <w:sz w:val="24"/>
              </w:rPr>
            </w:pPr>
            <w:r>
              <w:rPr>
                <w:rFonts w:hint="eastAsia"/>
                <w:sz w:val="24"/>
              </w:rPr>
              <w:t>t—降雨历时，取15min。</w:t>
            </w:r>
          </w:p>
          <w:p>
            <w:pPr>
              <w:adjustRightInd w:val="0"/>
              <w:snapToGrid w:val="0"/>
              <w:spacing w:line="360" w:lineRule="auto"/>
              <w:ind w:firstLine="480" w:firstLineChars="200"/>
              <w:rPr>
                <w:sz w:val="24"/>
              </w:rPr>
            </w:pPr>
            <w:r>
              <w:rPr>
                <w:rFonts w:hint="eastAsia"/>
                <w:sz w:val="24"/>
              </w:rPr>
              <w:t>经计算，在设定条件下，项目厂区内暴雨强度为</w:t>
            </w:r>
            <w:r>
              <w:rPr>
                <w:sz w:val="24"/>
              </w:rPr>
              <w:t>120.74</w:t>
            </w:r>
            <w:r>
              <w:rPr>
                <w:rFonts w:hint="eastAsia"/>
                <w:sz w:val="24"/>
              </w:rPr>
              <w:t>L/s·hm²，雨水流量</w:t>
            </w:r>
            <w:r>
              <w:rPr>
                <w:sz w:val="24"/>
              </w:rPr>
              <w:t>4.69</w:t>
            </w:r>
            <w:r>
              <w:rPr>
                <w:rFonts w:hint="eastAsia"/>
                <w:sz w:val="24"/>
              </w:rPr>
              <w:t>L/s。根据雨水流量计算，项目厂区初期雨水（前15min径流量）约为</w:t>
            </w:r>
            <w:r>
              <w:rPr>
                <w:sz w:val="24"/>
              </w:rPr>
              <w:t>4.22</w:t>
            </w:r>
            <w:r>
              <w:rPr>
                <w:rFonts w:hint="eastAsia"/>
                <w:sz w:val="24"/>
              </w:rPr>
              <w:t>m³/次。</w:t>
            </w:r>
          </w:p>
          <w:p>
            <w:pPr>
              <w:adjustRightInd w:val="0"/>
              <w:snapToGrid w:val="0"/>
              <w:spacing w:line="360" w:lineRule="auto"/>
              <w:ind w:firstLine="480" w:firstLineChars="200"/>
              <w:rPr>
                <w:sz w:val="24"/>
              </w:rPr>
            </w:pPr>
            <w:r>
              <w:rPr>
                <w:rFonts w:hint="eastAsia"/>
                <w:sz w:val="24"/>
              </w:rPr>
              <w:t>项目区东侧低洼处设置3</w:t>
            </w:r>
            <w:r>
              <w:rPr>
                <w:sz w:val="24"/>
              </w:rPr>
              <w:t>0</w:t>
            </w:r>
            <w:r>
              <w:rPr>
                <w:rFonts w:hint="eastAsia"/>
                <w:sz w:val="24"/>
              </w:rPr>
              <w:t>m³初期雨水收集池1座，雨天厂区内初期雨水经收集后排入初期雨水收集池沉淀处理后上清液排入清水池，回用于洗砂工段，不外排。</w:t>
            </w:r>
          </w:p>
          <w:bookmarkEnd w:id="27"/>
          <w:bookmarkEnd w:id="28"/>
          <w:p>
            <w:pPr>
              <w:adjustRightInd w:val="0"/>
              <w:snapToGrid w:val="0"/>
              <w:spacing w:line="360" w:lineRule="auto"/>
              <w:ind w:firstLine="480" w:firstLineChars="200"/>
              <w:rPr>
                <w:sz w:val="24"/>
              </w:rPr>
            </w:pPr>
            <w:r>
              <w:rPr>
                <w:rFonts w:hint="eastAsia"/>
                <w:sz w:val="24"/>
              </w:rPr>
              <w:t>综上分析，项目运营期给排水情况汇总如下：</w:t>
            </w:r>
          </w:p>
          <w:p>
            <w:pPr>
              <w:adjustRightInd w:val="0"/>
              <w:snapToGrid w:val="0"/>
              <w:jc w:val="center"/>
              <w:rPr>
                <w:b/>
                <w:color w:val="0000FF"/>
                <w:sz w:val="24"/>
              </w:rPr>
            </w:pPr>
            <w:r>
              <w:rPr>
                <w:rFonts w:hint="eastAsia"/>
                <w:b/>
                <w:color w:val="0000FF"/>
                <w:sz w:val="24"/>
              </w:rPr>
              <w:t>表2</w:t>
            </w:r>
            <w:r>
              <w:rPr>
                <w:b/>
                <w:color w:val="0000FF"/>
                <w:sz w:val="24"/>
              </w:rPr>
              <w:t xml:space="preserve">.7-1  </w:t>
            </w:r>
            <w:r>
              <w:rPr>
                <w:rFonts w:hint="eastAsia"/>
                <w:b/>
                <w:color w:val="0000FF"/>
                <w:sz w:val="24"/>
              </w:rPr>
              <w:t xml:space="preserve">项目运营期给排水情况一览表 </w:t>
            </w:r>
            <w:r>
              <w:rPr>
                <w:b/>
                <w:color w:val="0000FF"/>
                <w:sz w:val="24"/>
              </w:rPr>
              <w:t xml:space="preserve"> </w:t>
            </w:r>
            <w:r>
              <w:rPr>
                <w:rFonts w:hint="eastAsia"/>
                <w:b/>
                <w:color w:val="0000FF"/>
                <w:sz w:val="24"/>
              </w:rPr>
              <w:t>单位：m³</w:t>
            </w:r>
            <w:r>
              <w:rPr>
                <w:b/>
                <w:color w:val="0000FF"/>
                <w:sz w:val="24"/>
              </w:rPr>
              <w:t>/</w:t>
            </w:r>
            <w:r>
              <w:rPr>
                <w:rFonts w:hint="eastAsia"/>
                <w:b/>
                <w:color w:val="0000FF"/>
                <w:sz w:val="24"/>
              </w:rPr>
              <w:t>d</w:t>
            </w:r>
          </w:p>
          <w:tbl>
            <w:tblPr>
              <w:tblStyle w:val="3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23"/>
              <w:gridCol w:w="1770"/>
              <w:gridCol w:w="1424"/>
              <w:gridCol w:w="1424"/>
              <w:gridCol w:w="14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84" w:type="pct"/>
                  <w:gridSpan w:val="2"/>
                  <w:vAlign w:val="center"/>
                </w:tcPr>
                <w:p>
                  <w:pPr>
                    <w:adjustRightInd w:val="0"/>
                    <w:snapToGrid w:val="0"/>
                    <w:jc w:val="center"/>
                    <w:rPr>
                      <w:b/>
                      <w:bCs/>
                      <w:color w:val="0000FF"/>
                      <w:szCs w:val="21"/>
                    </w:rPr>
                  </w:pPr>
                  <w:r>
                    <w:rPr>
                      <w:b/>
                      <w:bCs/>
                      <w:color w:val="0000FF"/>
                      <w:szCs w:val="21"/>
                    </w:rPr>
                    <w:t>给排水环节</w:t>
                  </w:r>
                </w:p>
              </w:tc>
              <w:tc>
                <w:tcPr>
                  <w:tcW w:w="872" w:type="pct"/>
                  <w:vAlign w:val="center"/>
                </w:tcPr>
                <w:p>
                  <w:pPr>
                    <w:adjustRightInd w:val="0"/>
                    <w:snapToGrid w:val="0"/>
                    <w:jc w:val="center"/>
                    <w:rPr>
                      <w:b/>
                      <w:bCs/>
                      <w:color w:val="0000FF"/>
                      <w:szCs w:val="21"/>
                    </w:rPr>
                  </w:pPr>
                  <w:r>
                    <w:rPr>
                      <w:b/>
                      <w:bCs/>
                      <w:color w:val="0000FF"/>
                      <w:szCs w:val="21"/>
                    </w:rPr>
                    <w:t>用水量</w:t>
                  </w:r>
                </w:p>
              </w:tc>
              <w:tc>
                <w:tcPr>
                  <w:tcW w:w="872" w:type="pct"/>
                  <w:vAlign w:val="center"/>
                </w:tcPr>
                <w:p>
                  <w:pPr>
                    <w:adjustRightInd w:val="0"/>
                    <w:snapToGrid w:val="0"/>
                    <w:jc w:val="center"/>
                    <w:rPr>
                      <w:b/>
                      <w:bCs/>
                      <w:color w:val="0000FF"/>
                      <w:szCs w:val="21"/>
                    </w:rPr>
                  </w:pPr>
                  <w:r>
                    <w:rPr>
                      <w:b/>
                      <w:bCs/>
                      <w:color w:val="0000FF"/>
                      <w:szCs w:val="21"/>
                    </w:rPr>
                    <w:t>损耗量</w:t>
                  </w:r>
                </w:p>
              </w:tc>
              <w:tc>
                <w:tcPr>
                  <w:tcW w:w="872" w:type="pct"/>
                  <w:tcBorders>
                    <w:right w:val="single" w:color="auto" w:sz="4" w:space="0"/>
                  </w:tcBorders>
                  <w:vAlign w:val="center"/>
                </w:tcPr>
                <w:p>
                  <w:pPr>
                    <w:adjustRightInd w:val="0"/>
                    <w:snapToGrid w:val="0"/>
                    <w:jc w:val="center"/>
                    <w:rPr>
                      <w:b/>
                      <w:bCs/>
                      <w:color w:val="0000FF"/>
                      <w:szCs w:val="21"/>
                    </w:rPr>
                  </w:pPr>
                  <w:r>
                    <w:rPr>
                      <w:b/>
                      <w:bCs/>
                      <w:color w:val="0000FF"/>
                      <w:szCs w:val="21"/>
                    </w:rPr>
                    <w:t>回用量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5"/>
                  <w:tcBorders>
                    <w:right w:val="single" w:color="auto" w:sz="4" w:space="0"/>
                  </w:tcBorders>
                  <w:vAlign w:val="center"/>
                </w:tcPr>
                <w:p>
                  <w:pPr>
                    <w:adjustRightInd w:val="0"/>
                    <w:snapToGrid w:val="0"/>
                    <w:jc w:val="center"/>
                    <w:rPr>
                      <w:b/>
                      <w:color w:val="0000FF"/>
                      <w:szCs w:val="21"/>
                    </w:rPr>
                  </w:pPr>
                  <w:r>
                    <w:rPr>
                      <w:b/>
                      <w:color w:val="0000FF"/>
                      <w:szCs w:val="21"/>
                    </w:rPr>
                    <w:t>晴天（生产期按200d计）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84" w:type="pct"/>
                  <w:gridSpan w:val="2"/>
                  <w:vAlign w:val="center"/>
                </w:tcPr>
                <w:p>
                  <w:pPr>
                    <w:adjustRightInd w:val="0"/>
                    <w:snapToGrid w:val="0"/>
                    <w:jc w:val="center"/>
                    <w:rPr>
                      <w:color w:val="0000FF"/>
                      <w:szCs w:val="21"/>
                    </w:rPr>
                  </w:pPr>
                  <w:r>
                    <w:rPr>
                      <w:color w:val="0000FF"/>
                      <w:szCs w:val="21"/>
                    </w:rPr>
                    <w:t>生活给排水</w:t>
                  </w:r>
                </w:p>
              </w:tc>
              <w:tc>
                <w:tcPr>
                  <w:tcW w:w="872" w:type="pct"/>
                  <w:vAlign w:val="center"/>
                </w:tcPr>
                <w:p>
                  <w:pPr>
                    <w:adjustRightInd w:val="0"/>
                    <w:snapToGrid w:val="0"/>
                    <w:jc w:val="center"/>
                    <w:rPr>
                      <w:color w:val="0000FF"/>
                      <w:szCs w:val="21"/>
                    </w:rPr>
                  </w:pPr>
                  <w:r>
                    <w:rPr>
                      <w:color w:val="0000FF"/>
                      <w:szCs w:val="21"/>
                    </w:rPr>
                    <w:t>0.3</w:t>
                  </w:r>
                </w:p>
              </w:tc>
              <w:tc>
                <w:tcPr>
                  <w:tcW w:w="872" w:type="pct"/>
                </w:tcPr>
                <w:p>
                  <w:pPr>
                    <w:adjustRightInd w:val="0"/>
                    <w:snapToGrid w:val="0"/>
                    <w:jc w:val="center"/>
                    <w:rPr>
                      <w:color w:val="0000FF"/>
                      <w:szCs w:val="21"/>
                    </w:rPr>
                  </w:pPr>
                  <w:r>
                    <w:rPr>
                      <w:color w:val="0000FF"/>
                      <w:szCs w:val="21"/>
                    </w:rPr>
                    <w:t>0.6</w:t>
                  </w:r>
                </w:p>
              </w:tc>
              <w:tc>
                <w:tcPr>
                  <w:tcW w:w="872" w:type="pct"/>
                  <w:tcBorders>
                    <w:right w:val="single" w:color="auto" w:sz="4" w:space="0"/>
                  </w:tcBorders>
                  <w:vAlign w:val="center"/>
                </w:tcPr>
                <w:p>
                  <w:pPr>
                    <w:adjustRightInd w:val="0"/>
                    <w:snapToGrid w:val="0"/>
                    <w:jc w:val="center"/>
                    <w:rPr>
                      <w:color w:val="0000FF"/>
                      <w:szCs w:val="21"/>
                    </w:rPr>
                  </w:pPr>
                  <w:r>
                    <w:rPr>
                      <w:color w:val="0000FF"/>
                      <w:szCs w:val="21"/>
                    </w:rPr>
                    <w:t>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300" w:type="pct"/>
                  <w:vMerge w:val="restart"/>
                  <w:tcBorders>
                    <w:right w:val="single" w:color="auto" w:sz="4" w:space="0"/>
                  </w:tcBorders>
                  <w:vAlign w:val="center"/>
                </w:tcPr>
                <w:p>
                  <w:pPr>
                    <w:adjustRightInd w:val="0"/>
                    <w:snapToGrid w:val="0"/>
                    <w:jc w:val="center"/>
                    <w:rPr>
                      <w:color w:val="0000FF"/>
                      <w:szCs w:val="21"/>
                    </w:rPr>
                  </w:pPr>
                  <w:r>
                    <w:rPr>
                      <w:color w:val="0000FF"/>
                      <w:szCs w:val="21"/>
                    </w:rPr>
                    <w:t>生产给排水</w:t>
                  </w:r>
                </w:p>
              </w:tc>
              <w:tc>
                <w:tcPr>
                  <w:tcW w:w="1084" w:type="pct"/>
                  <w:tcBorders>
                    <w:left w:val="single" w:color="auto" w:sz="4" w:space="0"/>
                  </w:tcBorders>
                  <w:vAlign w:val="center"/>
                </w:tcPr>
                <w:p>
                  <w:pPr>
                    <w:adjustRightInd w:val="0"/>
                    <w:snapToGrid w:val="0"/>
                    <w:jc w:val="center"/>
                    <w:rPr>
                      <w:color w:val="0000FF"/>
                      <w:szCs w:val="21"/>
                    </w:rPr>
                  </w:pPr>
                  <w:r>
                    <w:rPr>
                      <w:color w:val="0000FF"/>
                      <w:szCs w:val="21"/>
                    </w:rPr>
                    <w:t>洗砂机</w:t>
                  </w:r>
                </w:p>
              </w:tc>
              <w:tc>
                <w:tcPr>
                  <w:tcW w:w="872" w:type="pct"/>
                  <w:vAlign w:val="center"/>
                </w:tcPr>
                <w:p>
                  <w:pPr>
                    <w:adjustRightInd w:val="0"/>
                    <w:snapToGrid w:val="0"/>
                    <w:jc w:val="center"/>
                    <w:rPr>
                      <w:color w:val="0000FF"/>
                      <w:szCs w:val="21"/>
                    </w:rPr>
                  </w:pPr>
                  <w:r>
                    <w:rPr>
                      <w:color w:val="0000FF"/>
                      <w:szCs w:val="21"/>
                    </w:rPr>
                    <w:t>150.0</w:t>
                  </w:r>
                </w:p>
              </w:tc>
              <w:tc>
                <w:tcPr>
                  <w:tcW w:w="872" w:type="pct"/>
                </w:tcPr>
                <w:p>
                  <w:pPr>
                    <w:adjustRightInd w:val="0"/>
                    <w:snapToGrid w:val="0"/>
                    <w:jc w:val="center"/>
                    <w:rPr>
                      <w:color w:val="0000FF"/>
                      <w:szCs w:val="21"/>
                    </w:rPr>
                  </w:pPr>
                  <w:r>
                    <w:rPr>
                      <w:color w:val="0000FF"/>
                      <w:szCs w:val="21"/>
                    </w:rPr>
                    <w:t>30.0</w:t>
                  </w:r>
                </w:p>
              </w:tc>
              <w:tc>
                <w:tcPr>
                  <w:tcW w:w="872" w:type="pct"/>
                  <w:tcBorders>
                    <w:right w:val="single" w:color="auto" w:sz="4" w:space="0"/>
                  </w:tcBorders>
                  <w:vAlign w:val="center"/>
                </w:tcPr>
                <w:p>
                  <w:pPr>
                    <w:adjustRightInd w:val="0"/>
                    <w:snapToGrid w:val="0"/>
                    <w:jc w:val="center"/>
                    <w:rPr>
                      <w:color w:val="0000FF"/>
                      <w:szCs w:val="21"/>
                    </w:rPr>
                  </w:pPr>
                  <w:r>
                    <w:rPr>
                      <w:color w:val="0000FF"/>
                      <w:szCs w:val="21"/>
                    </w:rPr>
                    <w:t>120.0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00" w:type="pct"/>
                  <w:vMerge w:val="continue"/>
                  <w:tcBorders>
                    <w:right w:val="single" w:color="auto" w:sz="4" w:space="0"/>
                  </w:tcBorders>
                  <w:vAlign w:val="center"/>
                </w:tcPr>
                <w:p>
                  <w:pPr>
                    <w:adjustRightInd w:val="0"/>
                    <w:snapToGrid w:val="0"/>
                    <w:jc w:val="center"/>
                    <w:rPr>
                      <w:color w:val="0000FF"/>
                      <w:szCs w:val="21"/>
                    </w:rPr>
                  </w:pPr>
                </w:p>
              </w:tc>
              <w:tc>
                <w:tcPr>
                  <w:tcW w:w="1084" w:type="pct"/>
                  <w:tcBorders>
                    <w:left w:val="single" w:color="auto" w:sz="4" w:space="0"/>
                  </w:tcBorders>
                  <w:vAlign w:val="center"/>
                </w:tcPr>
                <w:p>
                  <w:pPr>
                    <w:adjustRightInd w:val="0"/>
                    <w:snapToGrid w:val="0"/>
                    <w:jc w:val="center"/>
                    <w:rPr>
                      <w:color w:val="0000FF"/>
                      <w:szCs w:val="21"/>
                    </w:rPr>
                  </w:pPr>
                  <w:r>
                    <w:rPr>
                      <w:color w:val="0000FF"/>
                      <w:szCs w:val="21"/>
                    </w:rPr>
                    <w:t>喷淋系统</w:t>
                  </w:r>
                </w:p>
              </w:tc>
              <w:tc>
                <w:tcPr>
                  <w:tcW w:w="872" w:type="pct"/>
                  <w:vAlign w:val="center"/>
                </w:tcPr>
                <w:p>
                  <w:pPr>
                    <w:adjustRightInd w:val="0"/>
                    <w:snapToGrid w:val="0"/>
                    <w:jc w:val="center"/>
                    <w:rPr>
                      <w:color w:val="0000FF"/>
                      <w:szCs w:val="21"/>
                    </w:rPr>
                  </w:pPr>
                  <w:r>
                    <w:rPr>
                      <w:color w:val="0000FF"/>
                      <w:szCs w:val="21"/>
                    </w:rPr>
                    <w:t>0.8</w:t>
                  </w:r>
                </w:p>
              </w:tc>
              <w:tc>
                <w:tcPr>
                  <w:tcW w:w="872" w:type="pct"/>
                </w:tcPr>
                <w:p>
                  <w:pPr>
                    <w:adjustRightInd w:val="0"/>
                    <w:snapToGrid w:val="0"/>
                    <w:jc w:val="center"/>
                    <w:rPr>
                      <w:color w:val="0000FF"/>
                      <w:szCs w:val="21"/>
                    </w:rPr>
                  </w:pPr>
                  <w:r>
                    <w:rPr>
                      <w:color w:val="0000FF"/>
                      <w:szCs w:val="21"/>
                    </w:rPr>
                    <w:t>0.8</w:t>
                  </w:r>
                </w:p>
              </w:tc>
              <w:tc>
                <w:tcPr>
                  <w:tcW w:w="872" w:type="pct"/>
                  <w:tcBorders>
                    <w:right w:val="single" w:color="auto" w:sz="4" w:space="0"/>
                  </w:tcBorders>
                  <w:vAlign w:val="center"/>
                </w:tcPr>
                <w:p>
                  <w:pPr>
                    <w:adjustRightInd w:val="0"/>
                    <w:snapToGrid w:val="0"/>
                    <w:jc w:val="center"/>
                    <w:rPr>
                      <w:color w:val="0000FF"/>
                      <w:szCs w:val="21"/>
                    </w:rPr>
                  </w:pPr>
                  <w:r>
                    <w:rPr>
                      <w:color w:val="0000FF"/>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00" w:type="pct"/>
                  <w:vMerge w:val="continue"/>
                  <w:tcBorders>
                    <w:right w:val="single" w:color="auto" w:sz="4" w:space="0"/>
                  </w:tcBorders>
                  <w:vAlign w:val="center"/>
                </w:tcPr>
                <w:p>
                  <w:pPr>
                    <w:adjustRightInd w:val="0"/>
                    <w:snapToGrid w:val="0"/>
                    <w:jc w:val="center"/>
                    <w:rPr>
                      <w:color w:val="0000FF"/>
                      <w:szCs w:val="21"/>
                    </w:rPr>
                  </w:pPr>
                </w:p>
              </w:tc>
              <w:tc>
                <w:tcPr>
                  <w:tcW w:w="1084" w:type="pct"/>
                  <w:tcBorders>
                    <w:left w:val="single" w:color="auto" w:sz="4" w:space="0"/>
                  </w:tcBorders>
                  <w:vAlign w:val="center"/>
                </w:tcPr>
                <w:p>
                  <w:pPr>
                    <w:adjustRightInd w:val="0"/>
                    <w:snapToGrid w:val="0"/>
                    <w:jc w:val="center"/>
                    <w:rPr>
                      <w:color w:val="0000FF"/>
                      <w:szCs w:val="21"/>
                    </w:rPr>
                  </w:pPr>
                  <w:r>
                    <w:rPr>
                      <w:color w:val="0000FF"/>
                      <w:szCs w:val="21"/>
                    </w:rPr>
                    <w:t>雾炮机</w:t>
                  </w:r>
                </w:p>
              </w:tc>
              <w:tc>
                <w:tcPr>
                  <w:tcW w:w="872" w:type="pct"/>
                  <w:vAlign w:val="center"/>
                </w:tcPr>
                <w:p>
                  <w:pPr>
                    <w:adjustRightInd w:val="0"/>
                    <w:snapToGrid w:val="0"/>
                    <w:jc w:val="center"/>
                    <w:rPr>
                      <w:color w:val="0000FF"/>
                      <w:szCs w:val="21"/>
                    </w:rPr>
                  </w:pPr>
                  <w:r>
                    <w:rPr>
                      <w:color w:val="0000FF"/>
                      <w:szCs w:val="21"/>
                    </w:rPr>
                    <w:t>2.0</w:t>
                  </w:r>
                </w:p>
              </w:tc>
              <w:tc>
                <w:tcPr>
                  <w:tcW w:w="872" w:type="pct"/>
                </w:tcPr>
                <w:p>
                  <w:pPr>
                    <w:adjustRightInd w:val="0"/>
                    <w:snapToGrid w:val="0"/>
                    <w:jc w:val="center"/>
                    <w:rPr>
                      <w:color w:val="0000FF"/>
                      <w:szCs w:val="21"/>
                    </w:rPr>
                  </w:pPr>
                  <w:r>
                    <w:rPr>
                      <w:color w:val="0000FF"/>
                      <w:szCs w:val="21"/>
                    </w:rPr>
                    <w:t>2.0</w:t>
                  </w:r>
                </w:p>
              </w:tc>
              <w:tc>
                <w:tcPr>
                  <w:tcW w:w="872" w:type="pct"/>
                  <w:tcBorders>
                    <w:right w:val="single" w:color="auto" w:sz="4" w:space="0"/>
                  </w:tcBorders>
                  <w:vAlign w:val="center"/>
                </w:tcPr>
                <w:p>
                  <w:pPr>
                    <w:adjustRightInd w:val="0"/>
                    <w:snapToGrid w:val="0"/>
                    <w:jc w:val="center"/>
                    <w:rPr>
                      <w:color w:val="0000FF"/>
                      <w:szCs w:val="21"/>
                    </w:rPr>
                  </w:pPr>
                  <w:r>
                    <w:rPr>
                      <w:color w:val="0000FF"/>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00" w:type="pct"/>
                  <w:vMerge w:val="continue"/>
                  <w:tcBorders>
                    <w:right w:val="single" w:color="auto" w:sz="4" w:space="0"/>
                  </w:tcBorders>
                  <w:vAlign w:val="center"/>
                </w:tcPr>
                <w:p>
                  <w:pPr>
                    <w:adjustRightInd w:val="0"/>
                    <w:snapToGrid w:val="0"/>
                    <w:jc w:val="center"/>
                    <w:rPr>
                      <w:color w:val="0000FF"/>
                      <w:szCs w:val="21"/>
                    </w:rPr>
                  </w:pPr>
                </w:p>
              </w:tc>
              <w:tc>
                <w:tcPr>
                  <w:tcW w:w="1084" w:type="pct"/>
                  <w:tcBorders>
                    <w:left w:val="single" w:color="auto" w:sz="4" w:space="0"/>
                  </w:tcBorders>
                  <w:vAlign w:val="center"/>
                </w:tcPr>
                <w:p>
                  <w:pPr>
                    <w:adjustRightInd w:val="0"/>
                    <w:snapToGrid w:val="0"/>
                    <w:jc w:val="center"/>
                    <w:rPr>
                      <w:color w:val="0000FF"/>
                      <w:szCs w:val="21"/>
                    </w:rPr>
                  </w:pPr>
                  <w:r>
                    <w:rPr>
                      <w:color w:val="0000FF"/>
                      <w:szCs w:val="21"/>
                    </w:rPr>
                    <w:t>车辆冲洗</w:t>
                  </w:r>
                </w:p>
              </w:tc>
              <w:tc>
                <w:tcPr>
                  <w:tcW w:w="872" w:type="pct"/>
                  <w:vAlign w:val="center"/>
                </w:tcPr>
                <w:p>
                  <w:pPr>
                    <w:adjustRightInd w:val="0"/>
                    <w:snapToGrid w:val="0"/>
                    <w:jc w:val="center"/>
                    <w:rPr>
                      <w:color w:val="0000FF"/>
                      <w:szCs w:val="21"/>
                    </w:rPr>
                  </w:pPr>
                  <w:r>
                    <w:rPr>
                      <w:color w:val="0000FF"/>
                      <w:szCs w:val="21"/>
                    </w:rPr>
                    <w:t>0.24</w:t>
                  </w:r>
                </w:p>
              </w:tc>
              <w:tc>
                <w:tcPr>
                  <w:tcW w:w="872" w:type="pct"/>
                </w:tcPr>
                <w:p>
                  <w:pPr>
                    <w:adjustRightInd w:val="0"/>
                    <w:snapToGrid w:val="0"/>
                    <w:jc w:val="center"/>
                    <w:rPr>
                      <w:color w:val="0000FF"/>
                      <w:szCs w:val="21"/>
                    </w:rPr>
                  </w:pPr>
                  <w:r>
                    <w:rPr>
                      <w:color w:val="0000FF"/>
                      <w:szCs w:val="21"/>
                    </w:rPr>
                    <w:t>0.048</w:t>
                  </w:r>
                </w:p>
              </w:tc>
              <w:tc>
                <w:tcPr>
                  <w:tcW w:w="872" w:type="pct"/>
                  <w:tcBorders>
                    <w:right w:val="single" w:color="auto" w:sz="4" w:space="0"/>
                  </w:tcBorders>
                  <w:vAlign w:val="center"/>
                </w:tcPr>
                <w:p>
                  <w:pPr>
                    <w:adjustRightInd w:val="0"/>
                    <w:snapToGrid w:val="0"/>
                    <w:jc w:val="center"/>
                    <w:rPr>
                      <w:color w:val="0000FF"/>
                      <w:szCs w:val="21"/>
                    </w:rPr>
                  </w:pPr>
                  <w:r>
                    <w:rPr>
                      <w:color w:val="0000FF"/>
                      <w:szCs w:val="21"/>
                    </w:rPr>
                    <w:t>0.192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300" w:type="pct"/>
                  <w:vMerge w:val="continue"/>
                  <w:tcBorders>
                    <w:right w:val="single" w:color="auto" w:sz="4" w:space="0"/>
                  </w:tcBorders>
                  <w:vAlign w:val="center"/>
                </w:tcPr>
                <w:p>
                  <w:pPr>
                    <w:adjustRightInd w:val="0"/>
                    <w:snapToGrid w:val="0"/>
                    <w:jc w:val="center"/>
                    <w:rPr>
                      <w:color w:val="0000FF"/>
                      <w:szCs w:val="21"/>
                    </w:rPr>
                  </w:pPr>
                </w:p>
              </w:tc>
              <w:tc>
                <w:tcPr>
                  <w:tcW w:w="1084" w:type="pct"/>
                  <w:tcBorders>
                    <w:left w:val="single" w:color="auto" w:sz="4" w:space="0"/>
                  </w:tcBorders>
                  <w:vAlign w:val="center"/>
                </w:tcPr>
                <w:p>
                  <w:pPr>
                    <w:adjustRightInd w:val="0"/>
                    <w:snapToGrid w:val="0"/>
                    <w:jc w:val="center"/>
                    <w:rPr>
                      <w:color w:val="0000FF"/>
                      <w:szCs w:val="21"/>
                    </w:rPr>
                  </w:pPr>
                  <w:r>
                    <w:rPr>
                      <w:rFonts w:hint="eastAsia"/>
                      <w:color w:val="0000FF"/>
                      <w:szCs w:val="21"/>
                    </w:rPr>
                    <w:t>道路浇洒</w:t>
                  </w:r>
                </w:p>
              </w:tc>
              <w:tc>
                <w:tcPr>
                  <w:tcW w:w="872" w:type="pct"/>
                  <w:vAlign w:val="center"/>
                </w:tcPr>
                <w:p>
                  <w:pPr>
                    <w:adjustRightInd w:val="0"/>
                    <w:snapToGrid w:val="0"/>
                    <w:jc w:val="center"/>
                    <w:rPr>
                      <w:color w:val="0000FF"/>
                      <w:szCs w:val="21"/>
                    </w:rPr>
                  </w:pPr>
                  <w:r>
                    <w:rPr>
                      <w:rFonts w:hint="eastAsia"/>
                      <w:color w:val="0000FF"/>
                      <w:szCs w:val="21"/>
                    </w:rPr>
                    <w:t>1</w:t>
                  </w:r>
                  <w:r>
                    <w:rPr>
                      <w:color w:val="0000FF"/>
                      <w:szCs w:val="21"/>
                    </w:rPr>
                    <w:t>.1</w:t>
                  </w:r>
                </w:p>
              </w:tc>
              <w:tc>
                <w:tcPr>
                  <w:tcW w:w="872" w:type="pct"/>
                </w:tcPr>
                <w:p>
                  <w:pPr>
                    <w:adjustRightInd w:val="0"/>
                    <w:snapToGrid w:val="0"/>
                    <w:jc w:val="center"/>
                    <w:rPr>
                      <w:color w:val="0000FF"/>
                      <w:szCs w:val="21"/>
                    </w:rPr>
                  </w:pPr>
                  <w:r>
                    <w:rPr>
                      <w:rFonts w:hint="eastAsia"/>
                      <w:color w:val="0000FF"/>
                      <w:szCs w:val="21"/>
                    </w:rPr>
                    <w:t>1</w:t>
                  </w:r>
                  <w:r>
                    <w:rPr>
                      <w:color w:val="0000FF"/>
                      <w:szCs w:val="21"/>
                    </w:rPr>
                    <w:t>.1</w:t>
                  </w:r>
                </w:p>
              </w:tc>
              <w:tc>
                <w:tcPr>
                  <w:tcW w:w="872" w:type="pct"/>
                  <w:tcBorders>
                    <w:right w:val="single" w:color="auto" w:sz="4" w:space="0"/>
                  </w:tcBorders>
                  <w:vAlign w:val="center"/>
                </w:tcPr>
                <w:p>
                  <w:pPr>
                    <w:adjustRightInd w:val="0"/>
                    <w:snapToGrid w:val="0"/>
                    <w:jc w:val="center"/>
                    <w:rPr>
                      <w:color w:val="0000FF"/>
                      <w:szCs w:val="21"/>
                    </w:rPr>
                  </w:pPr>
                  <w:r>
                    <w:rPr>
                      <w:rFonts w:hint="eastAsia"/>
                      <w:color w:val="0000FF"/>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5"/>
                  <w:tcBorders>
                    <w:right w:val="single" w:color="auto" w:sz="4" w:space="0"/>
                  </w:tcBorders>
                  <w:vAlign w:val="center"/>
                </w:tcPr>
                <w:p>
                  <w:pPr>
                    <w:adjustRightInd w:val="0"/>
                    <w:snapToGrid w:val="0"/>
                    <w:jc w:val="center"/>
                    <w:rPr>
                      <w:b/>
                      <w:color w:val="0000FF"/>
                      <w:szCs w:val="21"/>
                    </w:rPr>
                  </w:pPr>
                  <w:r>
                    <w:rPr>
                      <w:b/>
                      <w:color w:val="0000FF"/>
                      <w:szCs w:val="21"/>
                    </w:rPr>
                    <w:t>雨天（生产期按100d计）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84" w:type="pct"/>
                  <w:gridSpan w:val="2"/>
                  <w:vAlign w:val="center"/>
                </w:tcPr>
                <w:p>
                  <w:pPr>
                    <w:adjustRightInd w:val="0"/>
                    <w:snapToGrid w:val="0"/>
                    <w:jc w:val="center"/>
                    <w:rPr>
                      <w:color w:val="0000FF"/>
                      <w:szCs w:val="21"/>
                    </w:rPr>
                  </w:pPr>
                  <w:r>
                    <w:rPr>
                      <w:color w:val="0000FF"/>
                      <w:szCs w:val="21"/>
                    </w:rPr>
                    <w:t>生活给排水</w:t>
                  </w:r>
                </w:p>
              </w:tc>
              <w:tc>
                <w:tcPr>
                  <w:tcW w:w="872" w:type="pct"/>
                  <w:vAlign w:val="center"/>
                </w:tcPr>
                <w:p>
                  <w:pPr>
                    <w:adjustRightInd w:val="0"/>
                    <w:snapToGrid w:val="0"/>
                    <w:jc w:val="center"/>
                    <w:rPr>
                      <w:color w:val="0000FF"/>
                      <w:szCs w:val="21"/>
                    </w:rPr>
                  </w:pPr>
                  <w:r>
                    <w:rPr>
                      <w:color w:val="0000FF"/>
                      <w:szCs w:val="21"/>
                    </w:rPr>
                    <w:t>0.3</w:t>
                  </w:r>
                </w:p>
              </w:tc>
              <w:tc>
                <w:tcPr>
                  <w:tcW w:w="872" w:type="pct"/>
                </w:tcPr>
                <w:p>
                  <w:pPr>
                    <w:adjustRightInd w:val="0"/>
                    <w:snapToGrid w:val="0"/>
                    <w:jc w:val="center"/>
                    <w:rPr>
                      <w:color w:val="0000FF"/>
                      <w:szCs w:val="21"/>
                    </w:rPr>
                  </w:pPr>
                  <w:r>
                    <w:rPr>
                      <w:color w:val="0000FF"/>
                      <w:szCs w:val="21"/>
                    </w:rPr>
                    <w:t>0.6</w:t>
                  </w:r>
                </w:p>
              </w:tc>
              <w:tc>
                <w:tcPr>
                  <w:tcW w:w="872" w:type="pct"/>
                  <w:tcBorders>
                    <w:right w:val="single" w:color="auto" w:sz="4" w:space="0"/>
                  </w:tcBorders>
                  <w:vAlign w:val="center"/>
                </w:tcPr>
                <w:p>
                  <w:pPr>
                    <w:adjustRightInd w:val="0"/>
                    <w:snapToGrid w:val="0"/>
                    <w:jc w:val="center"/>
                    <w:rPr>
                      <w:color w:val="0000FF"/>
                      <w:szCs w:val="21"/>
                    </w:rPr>
                  </w:pPr>
                  <w:r>
                    <w:rPr>
                      <w:color w:val="0000FF"/>
                      <w:szCs w:val="21"/>
                    </w:rPr>
                    <w:t>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00" w:type="pct"/>
                  <w:vMerge w:val="restart"/>
                  <w:tcBorders>
                    <w:right w:val="single" w:color="auto" w:sz="4" w:space="0"/>
                  </w:tcBorders>
                  <w:vAlign w:val="center"/>
                </w:tcPr>
                <w:p>
                  <w:pPr>
                    <w:adjustRightInd w:val="0"/>
                    <w:snapToGrid w:val="0"/>
                    <w:jc w:val="center"/>
                    <w:rPr>
                      <w:color w:val="0000FF"/>
                      <w:szCs w:val="21"/>
                    </w:rPr>
                  </w:pPr>
                  <w:r>
                    <w:rPr>
                      <w:color w:val="0000FF"/>
                      <w:szCs w:val="21"/>
                    </w:rPr>
                    <w:t>生产给排水</w:t>
                  </w:r>
                </w:p>
              </w:tc>
              <w:tc>
                <w:tcPr>
                  <w:tcW w:w="1084" w:type="pct"/>
                  <w:tcBorders>
                    <w:left w:val="single" w:color="auto" w:sz="4" w:space="0"/>
                  </w:tcBorders>
                  <w:vAlign w:val="center"/>
                </w:tcPr>
                <w:p>
                  <w:pPr>
                    <w:adjustRightInd w:val="0"/>
                    <w:snapToGrid w:val="0"/>
                    <w:jc w:val="center"/>
                    <w:rPr>
                      <w:color w:val="0000FF"/>
                      <w:szCs w:val="21"/>
                    </w:rPr>
                  </w:pPr>
                  <w:r>
                    <w:rPr>
                      <w:color w:val="0000FF"/>
                      <w:szCs w:val="21"/>
                    </w:rPr>
                    <w:t>洗砂机</w:t>
                  </w:r>
                </w:p>
              </w:tc>
              <w:tc>
                <w:tcPr>
                  <w:tcW w:w="872" w:type="pct"/>
                  <w:vAlign w:val="center"/>
                </w:tcPr>
                <w:p>
                  <w:pPr>
                    <w:adjustRightInd w:val="0"/>
                    <w:snapToGrid w:val="0"/>
                    <w:jc w:val="center"/>
                    <w:rPr>
                      <w:color w:val="0000FF"/>
                      <w:szCs w:val="21"/>
                    </w:rPr>
                  </w:pPr>
                  <w:r>
                    <w:rPr>
                      <w:color w:val="0000FF"/>
                      <w:szCs w:val="21"/>
                    </w:rPr>
                    <w:t>150.0</w:t>
                  </w:r>
                </w:p>
              </w:tc>
              <w:tc>
                <w:tcPr>
                  <w:tcW w:w="872" w:type="pct"/>
                </w:tcPr>
                <w:p>
                  <w:pPr>
                    <w:adjustRightInd w:val="0"/>
                    <w:snapToGrid w:val="0"/>
                    <w:jc w:val="center"/>
                    <w:rPr>
                      <w:color w:val="0000FF"/>
                      <w:szCs w:val="21"/>
                    </w:rPr>
                  </w:pPr>
                  <w:r>
                    <w:rPr>
                      <w:color w:val="0000FF"/>
                      <w:szCs w:val="21"/>
                    </w:rPr>
                    <w:t>30.0</w:t>
                  </w:r>
                </w:p>
              </w:tc>
              <w:tc>
                <w:tcPr>
                  <w:tcW w:w="872" w:type="pct"/>
                  <w:vAlign w:val="center"/>
                </w:tcPr>
                <w:p>
                  <w:pPr>
                    <w:adjustRightInd w:val="0"/>
                    <w:snapToGrid w:val="0"/>
                    <w:jc w:val="center"/>
                    <w:rPr>
                      <w:color w:val="0000FF"/>
                      <w:szCs w:val="21"/>
                    </w:rPr>
                  </w:pPr>
                  <w:r>
                    <w:rPr>
                      <w:color w:val="0000FF"/>
                      <w:szCs w:val="21"/>
                    </w:rPr>
                    <w:t>120.0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300" w:type="pct"/>
                  <w:vMerge w:val="continue"/>
                  <w:tcBorders>
                    <w:right w:val="single" w:color="auto" w:sz="4" w:space="0"/>
                  </w:tcBorders>
                  <w:vAlign w:val="center"/>
                </w:tcPr>
                <w:p>
                  <w:pPr>
                    <w:adjustRightInd w:val="0"/>
                    <w:snapToGrid w:val="0"/>
                    <w:jc w:val="center"/>
                    <w:rPr>
                      <w:color w:val="0000FF"/>
                      <w:szCs w:val="21"/>
                    </w:rPr>
                  </w:pPr>
                </w:p>
              </w:tc>
              <w:tc>
                <w:tcPr>
                  <w:tcW w:w="1084" w:type="pct"/>
                  <w:tcBorders>
                    <w:left w:val="single" w:color="auto" w:sz="4" w:space="0"/>
                  </w:tcBorders>
                  <w:vAlign w:val="center"/>
                </w:tcPr>
                <w:p>
                  <w:pPr>
                    <w:adjustRightInd w:val="0"/>
                    <w:snapToGrid w:val="0"/>
                    <w:jc w:val="center"/>
                    <w:rPr>
                      <w:color w:val="0000FF"/>
                      <w:szCs w:val="21"/>
                    </w:rPr>
                  </w:pPr>
                  <w:r>
                    <w:rPr>
                      <w:color w:val="0000FF"/>
                      <w:szCs w:val="21"/>
                    </w:rPr>
                    <w:t>喷淋系统</w:t>
                  </w:r>
                </w:p>
              </w:tc>
              <w:tc>
                <w:tcPr>
                  <w:tcW w:w="872" w:type="pct"/>
                  <w:vAlign w:val="center"/>
                </w:tcPr>
                <w:p>
                  <w:pPr>
                    <w:adjustRightInd w:val="0"/>
                    <w:snapToGrid w:val="0"/>
                    <w:jc w:val="center"/>
                    <w:rPr>
                      <w:color w:val="0000FF"/>
                      <w:szCs w:val="21"/>
                    </w:rPr>
                  </w:pPr>
                  <w:r>
                    <w:rPr>
                      <w:color w:val="0000FF"/>
                      <w:szCs w:val="21"/>
                    </w:rPr>
                    <w:t>0.8</w:t>
                  </w:r>
                </w:p>
              </w:tc>
              <w:tc>
                <w:tcPr>
                  <w:tcW w:w="872" w:type="pct"/>
                </w:tcPr>
                <w:p>
                  <w:pPr>
                    <w:adjustRightInd w:val="0"/>
                    <w:snapToGrid w:val="0"/>
                    <w:jc w:val="center"/>
                    <w:rPr>
                      <w:color w:val="0000FF"/>
                      <w:szCs w:val="21"/>
                    </w:rPr>
                  </w:pPr>
                  <w:r>
                    <w:rPr>
                      <w:color w:val="0000FF"/>
                      <w:szCs w:val="21"/>
                    </w:rPr>
                    <w:t>0.8</w:t>
                  </w:r>
                </w:p>
              </w:tc>
              <w:tc>
                <w:tcPr>
                  <w:tcW w:w="872" w:type="pct"/>
                  <w:vAlign w:val="center"/>
                </w:tcPr>
                <w:p>
                  <w:pPr>
                    <w:adjustRightInd w:val="0"/>
                    <w:snapToGrid w:val="0"/>
                    <w:jc w:val="center"/>
                    <w:rPr>
                      <w:color w:val="0000FF"/>
                      <w:szCs w:val="21"/>
                    </w:rPr>
                  </w:pPr>
                  <w:r>
                    <w:rPr>
                      <w:color w:val="0000FF"/>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00" w:type="pct"/>
                  <w:vMerge w:val="continue"/>
                  <w:tcBorders>
                    <w:right w:val="single" w:color="auto" w:sz="4" w:space="0"/>
                  </w:tcBorders>
                  <w:vAlign w:val="center"/>
                </w:tcPr>
                <w:p>
                  <w:pPr>
                    <w:adjustRightInd w:val="0"/>
                    <w:snapToGrid w:val="0"/>
                    <w:jc w:val="center"/>
                    <w:rPr>
                      <w:color w:val="0000FF"/>
                      <w:szCs w:val="21"/>
                    </w:rPr>
                  </w:pPr>
                </w:p>
              </w:tc>
              <w:tc>
                <w:tcPr>
                  <w:tcW w:w="1084" w:type="pct"/>
                  <w:tcBorders>
                    <w:left w:val="single" w:color="auto" w:sz="4" w:space="0"/>
                  </w:tcBorders>
                  <w:vAlign w:val="center"/>
                </w:tcPr>
                <w:p>
                  <w:pPr>
                    <w:adjustRightInd w:val="0"/>
                    <w:snapToGrid w:val="0"/>
                    <w:jc w:val="center"/>
                    <w:rPr>
                      <w:color w:val="0000FF"/>
                      <w:szCs w:val="21"/>
                    </w:rPr>
                  </w:pPr>
                  <w:r>
                    <w:rPr>
                      <w:color w:val="0000FF"/>
                      <w:szCs w:val="21"/>
                    </w:rPr>
                    <w:t>车辆冲洗</w:t>
                  </w:r>
                </w:p>
              </w:tc>
              <w:tc>
                <w:tcPr>
                  <w:tcW w:w="872" w:type="pct"/>
                  <w:vAlign w:val="center"/>
                </w:tcPr>
                <w:p>
                  <w:pPr>
                    <w:adjustRightInd w:val="0"/>
                    <w:snapToGrid w:val="0"/>
                    <w:jc w:val="center"/>
                    <w:rPr>
                      <w:color w:val="0000FF"/>
                      <w:szCs w:val="21"/>
                    </w:rPr>
                  </w:pPr>
                  <w:r>
                    <w:rPr>
                      <w:color w:val="0000FF"/>
                      <w:szCs w:val="21"/>
                    </w:rPr>
                    <w:t>0.24</w:t>
                  </w:r>
                </w:p>
              </w:tc>
              <w:tc>
                <w:tcPr>
                  <w:tcW w:w="872" w:type="pct"/>
                </w:tcPr>
                <w:p>
                  <w:pPr>
                    <w:adjustRightInd w:val="0"/>
                    <w:snapToGrid w:val="0"/>
                    <w:jc w:val="center"/>
                    <w:rPr>
                      <w:color w:val="0000FF"/>
                      <w:szCs w:val="21"/>
                    </w:rPr>
                  </w:pPr>
                  <w:r>
                    <w:rPr>
                      <w:color w:val="0000FF"/>
                      <w:szCs w:val="21"/>
                    </w:rPr>
                    <w:t>0.048</w:t>
                  </w:r>
                </w:p>
              </w:tc>
              <w:tc>
                <w:tcPr>
                  <w:tcW w:w="872" w:type="pct"/>
                  <w:vAlign w:val="center"/>
                </w:tcPr>
                <w:p>
                  <w:pPr>
                    <w:adjustRightInd w:val="0"/>
                    <w:snapToGrid w:val="0"/>
                    <w:jc w:val="center"/>
                    <w:rPr>
                      <w:color w:val="0000FF"/>
                      <w:szCs w:val="21"/>
                    </w:rPr>
                  </w:pPr>
                  <w:r>
                    <w:rPr>
                      <w:color w:val="0000FF"/>
                      <w:szCs w:val="21"/>
                    </w:rPr>
                    <w:t>0.192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84" w:type="pct"/>
                  <w:gridSpan w:val="2"/>
                  <w:vAlign w:val="center"/>
                </w:tcPr>
                <w:p>
                  <w:pPr>
                    <w:adjustRightInd w:val="0"/>
                    <w:snapToGrid w:val="0"/>
                    <w:jc w:val="center"/>
                    <w:rPr>
                      <w:color w:val="0000FF"/>
                      <w:szCs w:val="21"/>
                    </w:rPr>
                  </w:pPr>
                  <w:r>
                    <w:rPr>
                      <w:color w:val="0000FF"/>
                      <w:szCs w:val="21"/>
                    </w:rPr>
                    <w:t>初期雨水</w:t>
                  </w:r>
                </w:p>
              </w:tc>
              <w:tc>
                <w:tcPr>
                  <w:tcW w:w="872" w:type="pct"/>
                  <w:vAlign w:val="center"/>
                </w:tcPr>
                <w:p>
                  <w:pPr>
                    <w:adjustRightInd w:val="0"/>
                    <w:snapToGrid w:val="0"/>
                    <w:jc w:val="center"/>
                    <w:rPr>
                      <w:color w:val="0000FF"/>
                      <w:szCs w:val="21"/>
                    </w:rPr>
                  </w:pPr>
                  <w:r>
                    <w:rPr>
                      <w:color w:val="0000FF"/>
                      <w:szCs w:val="21"/>
                    </w:rPr>
                    <w:t>/</w:t>
                  </w:r>
                </w:p>
              </w:tc>
              <w:tc>
                <w:tcPr>
                  <w:tcW w:w="872" w:type="pct"/>
                </w:tcPr>
                <w:p>
                  <w:pPr>
                    <w:adjustRightInd w:val="0"/>
                    <w:snapToGrid w:val="0"/>
                    <w:jc w:val="center"/>
                    <w:rPr>
                      <w:color w:val="0000FF"/>
                      <w:szCs w:val="21"/>
                    </w:rPr>
                  </w:pPr>
                  <w:r>
                    <w:rPr>
                      <w:color w:val="0000FF"/>
                      <w:szCs w:val="21"/>
                    </w:rPr>
                    <w:t>/</w:t>
                  </w:r>
                </w:p>
              </w:tc>
              <w:tc>
                <w:tcPr>
                  <w:tcW w:w="872" w:type="pct"/>
                  <w:vAlign w:val="center"/>
                </w:tcPr>
                <w:p>
                  <w:pPr>
                    <w:adjustRightInd w:val="0"/>
                    <w:snapToGrid w:val="0"/>
                    <w:jc w:val="center"/>
                    <w:rPr>
                      <w:color w:val="0000FF"/>
                      <w:szCs w:val="21"/>
                    </w:rPr>
                  </w:pPr>
                  <w:r>
                    <w:rPr>
                      <w:color w:val="0000FF"/>
                      <w:szCs w:val="21"/>
                    </w:rPr>
                    <w:t>4.22</w:t>
                  </w:r>
                </w:p>
              </w:tc>
            </w:tr>
            <w:bookmarkEnd w:id="29"/>
          </w:tbl>
          <w:p>
            <w:pPr>
              <w:adjustRightInd w:val="0"/>
              <w:snapToGrid w:val="0"/>
              <w:jc w:val="center"/>
              <w:rPr>
                <w:szCs w:val="21"/>
              </w:rPr>
            </w:pPr>
          </w:p>
          <w:p>
            <w:pPr>
              <w:adjustRightInd w:val="0"/>
              <w:snapToGrid w:val="0"/>
              <w:jc w:val="center"/>
              <w:rPr>
                <w:szCs w:val="21"/>
              </w:rPr>
            </w:pPr>
            <w:r>
              <w:object>
                <v:shape id="_x0000_i1025" o:spt="75" type="#_x0000_t75" style="height:297.65pt;width:394.4pt;" o:ole="t" filled="f" o:preferrelative="t" stroked="f" coordsize="21600,21600">
                  <v:path/>
                  <v:fill on="f" focussize="0,0"/>
                  <v:stroke on="f" joinstyle="miter"/>
                  <v:imagedata r:id="rId11" o:title=""/>
                  <o:lock v:ext="edit" aspectratio="t"/>
                  <w10:wrap type="none"/>
                  <w10:anchorlock/>
                </v:shape>
                <o:OLEObject Type="Embed" ProgID="Visio.Drawing.15" ShapeID="_x0000_i1025" DrawAspect="Content" ObjectID="_1468075725" r:id="rId10">
                  <o:LockedField>false</o:LockedField>
                </o:OLEObject>
              </w:object>
            </w:r>
          </w:p>
          <w:p>
            <w:pPr>
              <w:adjustRightInd w:val="0"/>
              <w:snapToGrid w:val="0"/>
              <w:jc w:val="center"/>
              <w:rPr>
                <w:b/>
                <w:sz w:val="24"/>
              </w:rPr>
            </w:pPr>
            <w:r>
              <w:rPr>
                <w:rFonts w:hint="eastAsia"/>
                <w:b/>
                <w:sz w:val="24"/>
              </w:rPr>
              <w:t>图2</w:t>
            </w:r>
            <w:r>
              <w:rPr>
                <w:b/>
                <w:sz w:val="24"/>
              </w:rPr>
              <w:t xml:space="preserve">.7-1  </w:t>
            </w:r>
            <w:r>
              <w:rPr>
                <w:rFonts w:hint="eastAsia"/>
                <w:b/>
                <w:sz w:val="24"/>
              </w:rPr>
              <w:t xml:space="preserve">项目运营期晴天水平衡图 </w:t>
            </w:r>
            <w:r>
              <w:rPr>
                <w:b/>
                <w:sz w:val="24"/>
              </w:rPr>
              <w:t xml:space="preserve"> </w:t>
            </w:r>
            <w:r>
              <w:rPr>
                <w:rFonts w:hint="eastAsia"/>
                <w:b/>
                <w:sz w:val="24"/>
              </w:rPr>
              <w:t>单位：m³</w:t>
            </w:r>
            <w:r>
              <w:rPr>
                <w:b/>
                <w:sz w:val="24"/>
              </w:rPr>
              <w:t>/</w:t>
            </w:r>
            <w:r>
              <w:rPr>
                <w:rFonts w:hint="eastAsia"/>
                <w:b/>
                <w:sz w:val="24"/>
              </w:rPr>
              <w:t>d</w:t>
            </w:r>
          </w:p>
          <w:p>
            <w:pPr>
              <w:adjustRightInd w:val="0"/>
              <w:snapToGrid w:val="0"/>
              <w:jc w:val="center"/>
              <w:rPr>
                <w:szCs w:val="21"/>
              </w:rPr>
            </w:pPr>
            <w:r>
              <w:object>
                <v:shape id="_x0000_i1026" o:spt="75" type="#_x0000_t75" style="height:225.65pt;width:394.4pt;" o:ole="t" filled="f" o:preferrelative="t" stroked="f" coordsize="21600,21600">
                  <v:path/>
                  <v:fill on="f" focussize="0,0"/>
                  <v:stroke on="f" joinstyle="miter"/>
                  <v:imagedata r:id="rId13" o:title=""/>
                  <o:lock v:ext="edit" aspectratio="t"/>
                  <w10:wrap type="none"/>
                  <w10:anchorlock/>
                </v:shape>
                <o:OLEObject Type="Embed" ProgID="Visio.Drawing.15" ShapeID="_x0000_i1026" DrawAspect="Content" ObjectID="_1468075726" r:id="rId12">
                  <o:LockedField>false</o:LockedField>
                </o:OLEObject>
              </w:object>
            </w:r>
          </w:p>
          <w:p>
            <w:pPr>
              <w:adjustRightInd w:val="0"/>
              <w:snapToGrid w:val="0"/>
              <w:jc w:val="center"/>
              <w:rPr>
                <w:b/>
                <w:sz w:val="24"/>
              </w:rPr>
            </w:pPr>
            <w:r>
              <w:rPr>
                <w:rFonts w:hint="eastAsia"/>
                <w:b/>
                <w:sz w:val="24"/>
              </w:rPr>
              <w:t>图2</w:t>
            </w:r>
            <w:r>
              <w:rPr>
                <w:b/>
                <w:sz w:val="24"/>
              </w:rPr>
              <w:t xml:space="preserve">.7-1  </w:t>
            </w:r>
            <w:r>
              <w:rPr>
                <w:rFonts w:hint="eastAsia"/>
                <w:b/>
                <w:sz w:val="24"/>
              </w:rPr>
              <w:t xml:space="preserve">项目运营期雨天水平衡图 </w:t>
            </w:r>
            <w:r>
              <w:rPr>
                <w:b/>
                <w:sz w:val="24"/>
              </w:rPr>
              <w:t xml:space="preserve"> </w:t>
            </w:r>
            <w:r>
              <w:rPr>
                <w:rFonts w:hint="eastAsia"/>
                <w:b/>
                <w:sz w:val="24"/>
              </w:rPr>
              <w:t>单位：m³</w:t>
            </w:r>
            <w:r>
              <w:rPr>
                <w:b/>
                <w:sz w:val="24"/>
              </w:rPr>
              <w:t>/</w:t>
            </w:r>
            <w:r>
              <w:rPr>
                <w:rFonts w:hint="eastAsia"/>
                <w:b/>
                <w:sz w:val="24"/>
              </w:rPr>
              <w:t>d</w:t>
            </w:r>
          </w:p>
          <w:p>
            <w:pPr>
              <w:adjustRightInd w:val="0"/>
              <w:snapToGrid w:val="0"/>
              <w:spacing w:line="360" w:lineRule="auto"/>
              <w:rPr>
                <w:rFonts w:ascii="黑体" w:hAnsi="黑体" w:eastAsia="黑体"/>
                <w:b/>
                <w:bCs/>
                <w:kern w:val="0"/>
                <w:sz w:val="24"/>
              </w:rPr>
            </w:pPr>
            <w:r>
              <w:rPr>
                <w:rFonts w:hint="eastAsia" w:ascii="黑体" w:hAnsi="黑体" w:eastAsia="黑体"/>
                <w:b/>
                <w:bCs/>
                <w:kern w:val="0"/>
                <w:sz w:val="24"/>
              </w:rPr>
              <w:t>（八）功能分区及平面布置</w:t>
            </w:r>
          </w:p>
          <w:p>
            <w:pPr>
              <w:adjustRightInd w:val="0"/>
              <w:snapToGrid w:val="0"/>
              <w:spacing w:line="360" w:lineRule="auto"/>
              <w:ind w:firstLine="480" w:firstLineChars="200"/>
              <w:rPr>
                <w:sz w:val="24"/>
              </w:rPr>
            </w:pPr>
            <w:r>
              <w:rPr>
                <w:rFonts w:hint="eastAsia"/>
                <w:sz w:val="24"/>
              </w:rPr>
              <w:t>本工程堆料场区、运输道路区、加工生产区、办公生活区、进场道路区布设靠周边现状道路东北方向50m运输道路区与进场道路区贯穿于整个项目区，运输道路主要方便砂石料运输，进场道路主要为成品砂石料的运输。污水处理区布置于项目区东南侧，地势高程相关较低，依靠重力自流便可实现污水收集。项目区在运行期末将对项目区进行全面整地，并进行景观绿化，项目场地布设紧凑，功能分区明确，各功能区衔接合理，工程布局能保证土地资源的充分利用，且最大程度的发挥各项设施工作效率，项目整体功能分区设置符合环境保护要求。</w:t>
            </w:r>
          </w:p>
          <w:p>
            <w:pPr>
              <w:adjustRightInd w:val="0"/>
              <w:snapToGrid w:val="0"/>
              <w:spacing w:line="360" w:lineRule="auto"/>
              <w:ind w:firstLine="480" w:firstLineChars="200"/>
              <w:rPr>
                <w:sz w:val="24"/>
              </w:rPr>
            </w:pPr>
            <w:r>
              <w:rPr>
                <w:rFonts w:hint="eastAsia"/>
                <w:sz w:val="24"/>
              </w:rPr>
              <w:t>根据主体设计，本项目充分利用现状自然坡地高差，将用地分成两块台地合理布局建筑，东南侧台地相对较低，且进场道路出入口位于西南侧，运输道路出入口位于东北侧，使得进场道路及运输道路贯穿整个项目区内。利用现状自然坡地高差，将用地分成两块台地合理布局建筑，东南侧台地相对较低，原始标高1732.53m～1741.44m之间，建设完工后，场地整体标高为1730.11~1739.01m。用地规划从西南至东北依次为：进场道路、加工生产区、办公生活区、堆料场区、污水处理区，各功能分区之间联系紧密、互相依存。其中，污水处理区位于项目区成品堆料区东南侧全厂地势最低处，初期雨水收集池、三级沉淀池、清水池两两并排布置，污水处理区北侧设置污泥堆存区；项目东北侧出入口处设置洗车区，办公生活区西侧设置危废暂存间，办公生活区东侧设置水冲厕及化粪池。项目区北侧、南侧、东侧依据地势设置截排水沟，确保污废水可完全依靠重力自流排入污水处理区（项目平面布置详见</w:t>
            </w:r>
            <w:r>
              <w:rPr>
                <w:rFonts w:hint="eastAsia"/>
                <w:b/>
                <w:sz w:val="24"/>
                <w:u w:val="single"/>
              </w:rPr>
              <w:t>附图2</w:t>
            </w:r>
            <w:r>
              <w:rPr>
                <w:rFonts w:hint="eastAsia"/>
                <w:sz w:val="24"/>
              </w:rPr>
              <w:t>）。</w:t>
            </w:r>
          </w:p>
          <w:p>
            <w:pPr>
              <w:adjustRightInd w:val="0"/>
              <w:snapToGrid w:val="0"/>
              <w:spacing w:line="360" w:lineRule="auto"/>
              <w:ind w:firstLine="480" w:firstLineChars="200"/>
              <w:rPr>
                <w:sz w:val="24"/>
              </w:rPr>
            </w:pPr>
            <w:r>
              <w:rPr>
                <w:rFonts w:hint="eastAsia"/>
                <w:sz w:val="24"/>
              </w:rPr>
              <w:t>综上分析，项目平面布置合理利用现状自然坡地高差，功能分区明确，平面布置紧凑有序，从环境保护的角度分析，项目平面布置合理。</w:t>
            </w:r>
            <w:bookmarkEnd w:id="19"/>
            <w:bookmarkEnd w:id="21"/>
            <w:bookmarkEnd w:id="22"/>
          </w:p>
        </w:tc>
      </w:tr>
      <w:bookmarkEnd w:id="18"/>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3" w:type="dxa"/>
            <w:vAlign w:val="center"/>
          </w:tcPr>
          <w:p>
            <w:pPr>
              <w:pStyle w:val="30"/>
              <w:adjustRightInd w:val="0"/>
              <w:snapToGrid w:val="0"/>
              <w:spacing w:before="0" w:beforeAutospacing="0" w:after="0" w:afterAutospacing="0"/>
              <w:jc w:val="center"/>
              <w:rPr>
                <w:rFonts w:ascii="Times New Roman" w:hAnsi="Times New Roman"/>
                <w:szCs w:val="24"/>
              </w:rPr>
            </w:pPr>
            <w:r>
              <w:rPr>
                <w:rFonts w:ascii="Times New Roman" w:hAnsi="Times New Roman"/>
                <w:b/>
                <w:bCs/>
                <w:szCs w:val="24"/>
              </w:rPr>
              <w:t>工艺流程和产排污环节</w:t>
            </w:r>
          </w:p>
        </w:tc>
        <w:tc>
          <w:tcPr>
            <w:tcW w:w="8391" w:type="dxa"/>
          </w:tcPr>
          <w:p>
            <w:pPr>
              <w:spacing w:line="360" w:lineRule="auto"/>
              <w:rPr>
                <w:rFonts w:ascii="黑体" w:hAnsi="黑体" w:eastAsia="黑体"/>
                <w:b/>
                <w:bCs/>
                <w:kern w:val="0"/>
                <w:sz w:val="24"/>
              </w:rPr>
            </w:pPr>
            <w:r>
              <w:rPr>
                <w:rFonts w:hint="eastAsia" w:ascii="黑体" w:hAnsi="黑体" w:eastAsia="黑体"/>
                <w:b/>
                <w:bCs/>
                <w:kern w:val="0"/>
                <w:sz w:val="24"/>
              </w:rPr>
              <w:t>（九）</w:t>
            </w:r>
            <w:r>
              <w:rPr>
                <w:rFonts w:ascii="黑体" w:hAnsi="黑体" w:eastAsia="黑体"/>
                <w:b/>
                <w:bCs/>
                <w:kern w:val="0"/>
                <w:sz w:val="24"/>
              </w:rPr>
              <w:t>工艺流程和产排污环节</w:t>
            </w:r>
          </w:p>
          <w:p>
            <w:pPr>
              <w:pStyle w:val="17"/>
              <w:spacing w:line="360" w:lineRule="auto"/>
              <w:ind w:firstLine="480" w:firstLineChars="200"/>
              <w:jc w:val="left"/>
              <w:rPr>
                <w:rFonts w:ascii="Times New Roman" w:hAnsi="Times New Roman"/>
                <w:bCs/>
                <w:sz w:val="24"/>
                <w:szCs w:val="24"/>
              </w:rPr>
            </w:pPr>
            <w:bookmarkStart w:id="30" w:name="_Hlk139634611"/>
            <w:r>
              <w:rPr>
                <w:rFonts w:hint="eastAsia" w:ascii="Times New Roman" w:hAnsi="Times New Roman"/>
                <w:bCs/>
                <w:sz w:val="24"/>
                <w:szCs w:val="24"/>
              </w:rPr>
              <w:t>项目运行期工艺流程及产排污节点图如下：</w:t>
            </w:r>
          </w:p>
          <w:p>
            <w:pPr>
              <w:pStyle w:val="18"/>
              <w:rPr>
                <w:rFonts w:ascii="Times New Roman" w:eastAsia="宋体"/>
                <w:color w:val="auto"/>
                <w:sz w:val="21"/>
                <w:szCs w:val="21"/>
              </w:rPr>
            </w:pPr>
            <w:r>
              <w:object>
                <v:shape id="_x0000_i1027" o:spt="75" type="#_x0000_t75" style="height:475pt;width:369.15pt;" o:ole="t" filled="f" o:preferrelative="t" stroked="f" coordsize="21600,21600">
                  <v:path/>
                  <v:fill on="f" focussize="0,0"/>
                  <v:stroke on="f" joinstyle="miter"/>
                  <v:imagedata r:id="rId15" o:title=""/>
                  <o:lock v:ext="edit" aspectratio="t"/>
                  <w10:wrap type="none"/>
                  <w10:anchorlock/>
                </v:shape>
                <o:OLEObject Type="Embed" ProgID="Visio.Drawing.15" ShapeID="_x0000_i1027" DrawAspect="Content" ObjectID="_1468075727" r:id="rId14">
                  <o:LockedField>false</o:LockedField>
                </o:OLEObject>
              </w:object>
            </w:r>
          </w:p>
          <w:p>
            <w:pPr>
              <w:pStyle w:val="17"/>
              <w:jc w:val="center"/>
            </w:pPr>
            <w:r>
              <w:rPr>
                <w:rFonts w:hint="eastAsia" w:ascii="Times New Roman" w:hAnsi="Times New Roman"/>
                <w:b/>
                <w:sz w:val="24"/>
                <w:szCs w:val="24"/>
              </w:rPr>
              <w:t>图</w:t>
            </w:r>
            <w:r>
              <w:rPr>
                <w:rFonts w:ascii="Times New Roman" w:hAnsi="Times New Roman"/>
                <w:b/>
                <w:sz w:val="24"/>
                <w:szCs w:val="24"/>
              </w:rPr>
              <w:t xml:space="preserve">2.9-1  </w:t>
            </w:r>
            <w:r>
              <w:rPr>
                <w:rFonts w:hint="eastAsia" w:ascii="Times New Roman" w:hAnsi="Times New Roman"/>
                <w:b/>
                <w:sz w:val="24"/>
                <w:szCs w:val="24"/>
              </w:rPr>
              <w:t>项目运行期工艺流程及产排污节点图</w:t>
            </w:r>
          </w:p>
          <w:bookmarkEnd w:id="30"/>
          <w:p>
            <w:pPr>
              <w:pStyle w:val="17"/>
              <w:spacing w:line="360" w:lineRule="auto"/>
              <w:ind w:firstLine="480" w:firstLineChars="200"/>
              <w:rPr>
                <w:rFonts w:ascii="Times New Roman" w:hAnsi="Times New Roman"/>
                <w:bCs/>
                <w:sz w:val="24"/>
                <w:szCs w:val="24"/>
              </w:rPr>
            </w:pPr>
            <w:bookmarkStart w:id="31" w:name="_Hlk117178399"/>
            <w:r>
              <w:rPr>
                <w:rFonts w:hint="eastAsia" w:ascii="Times New Roman" w:hAnsi="Times New Roman"/>
                <w:bCs/>
                <w:sz w:val="24"/>
                <w:szCs w:val="24"/>
              </w:rPr>
              <w:t>根据工艺流程和产排污环节，结合项目拟采取的环保措施及使用的原辅材料，项目运行期产排污环节及污染物排放种类如下表：</w:t>
            </w:r>
          </w:p>
          <w:p>
            <w:pPr>
              <w:pStyle w:val="17"/>
              <w:jc w:val="center"/>
              <w:rPr>
                <w:rFonts w:ascii="Times New Roman" w:hAnsi="Times New Roman"/>
                <w:b/>
                <w:sz w:val="24"/>
                <w:szCs w:val="24"/>
              </w:rPr>
            </w:pPr>
            <w:r>
              <w:rPr>
                <w:rFonts w:hint="eastAsia" w:ascii="Times New Roman" w:hAnsi="Times New Roman"/>
                <w:b/>
                <w:sz w:val="24"/>
                <w:szCs w:val="24"/>
              </w:rPr>
              <w:t>表2</w:t>
            </w:r>
            <w:r>
              <w:rPr>
                <w:rFonts w:ascii="Times New Roman" w:hAnsi="Times New Roman"/>
                <w:b/>
                <w:sz w:val="24"/>
                <w:szCs w:val="24"/>
              </w:rPr>
              <w:t>.9</w:t>
            </w:r>
            <w:r>
              <w:rPr>
                <w:rFonts w:hint="eastAsia" w:ascii="Times New Roman" w:hAnsi="Times New Roman"/>
                <w:b/>
                <w:sz w:val="24"/>
                <w:szCs w:val="24"/>
              </w:rPr>
              <w:t>-</w:t>
            </w:r>
            <w:r>
              <w:rPr>
                <w:rFonts w:ascii="Times New Roman" w:hAnsi="Times New Roman"/>
                <w:b/>
                <w:sz w:val="24"/>
                <w:szCs w:val="24"/>
              </w:rPr>
              <w:t>1</w:t>
            </w:r>
            <w:r>
              <w:rPr>
                <w:rFonts w:hint="eastAsia" w:ascii="Times New Roman" w:hAnsi="Times New Roman"/>
                <w:b/>
                <w:sz w:val="24"/>
                <w:szCs w:val="24"/>
              </w:rPr>
              <w:t xml:space="preserve">  项目运行期排放污染物一览表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199"/>
              <w:gridCol w:w="1210"/>
              <w:gridCol w:w="3558"/>
              <w:gridCol w:w="1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vAlign w:val="center"/>
                </w:tcPr>
                <w:p>
                  <w:pPr>
                    <w:jc w:val="center"/>
                    <w:rPr>
                      <w:b/>
                      <w:bCs/>
                      <w:color w:val="0000FF"/>
                      <w:szCs w:val="21"/>
                    </w:rPr>
                  </w:pPr>
                  <w:bookmarkStart w:id="32" w:name="_Hlk123635290"/>
                  <w:r>
                    <w:rPr>
                      <w:rFonts w:hint="eastAsia"/>
                      <w:b/>
                      <w:bCs/>
                      <w:color w:val="0000FF"/>
                      <w:szCs w:val="21"/>
                    </w:rPr>
                    <w:t>类别</w:t>
                  </w:r>
                </w:p>
              </w:tc>
              <w:tc>
                <w:tcPr>
                  <w:tcW w:w="734" w:type="pct"/>
                  <w:vAlign w:val="center"/>
                </w:tcPr>
                <w:p>
                  <w:pPr>
                    <w:jc w:val="center"/>
                    <w:rPr>
                      <w:b/>
                      <w:bCs/>
                      <w:color w:val="0000FF"/>
                      <w:szCs w:val="21"/>
                    </w:rPr>
                  </w:pPr>
                  <w:r>
                    <w:rPr>
                      <w:rFonts w:hint="eastAsia"/>
                      <w:b/>
                      <w:bCs/>
                      <w:color w:val="0000FF"/>
                      <w:szCs w:val="21"/>
                    </w:rPr>
                    <w:t>产污工序/环节/场所</w:t>
                  </w:r>
                </w:p>
              </w:tc>
              <w:tc>
                <w:tcPr>
                  <w:tcW w:w="741" w:type="pct"/>
                  <w:vAlign w:val="center"/>
                </w:tcPr>
                <w:p>
                  <w:pPr>
                    <w:jc w:val="center"/>
                    <w:rPr>
                      <w:b/>
                      <w:bCs/>
                      <w:color w:val="0000FF"/>
                      <w:szCs w:val="21"/>
                    </w:rPr>
                  </w:pPr>
                  <w:r>
                    <w:rPr>
                      <w:rFonts w:hint="eastAsia"/>
                      <w:b/>
                      <w:bCs/>
                      <w:color w:val="0000FF"/>
                      <w:szCs w:val="21"/>
                    </w:rPr>
                    <w:t>污染物编号</w:t>
                  </w:r>
                </w:p>
              </w:tc>
              <w:tc>
                <w:tcPr>
                  <w:tcW w:w="2178" w:type="pct"/>
                  <w:vAlign w:val="center"/>
                </w:tcPr>
                <w:p>
                  <w:pPr>
                    <w:jc w:val="center"/>
                    <w:rPr>
                      <w:b/>
                      <w:bCs/>
                      <w:color w:val="0000FF"/>
                      <w:szCs w:val="21"/>
                    </w:rPr>
                  </w:pPr>
                  <w:r>
                    <w:rPr>
                      <w:rFonts w:hint="eastAsia"/>
                      <w:b/>
                      <w:bCs/>
                      <w:color w:val="0000FF"/>
                      <w:szCs w:val="21"/>
                    </w:rPr>
                    <w:t>污染因子</w:t>
                  </w:r>
                </w:p>
              </w:tc>
              <w:tc>
                <w:tcPr>
                  <w:tcW w:w="944" w:type="pct"/>
                  <w:vAlign w:val="center"/>
                </w:tcPr>
                <w:p>
                  <w:pPr>
                    <w:jc w:val="center"/>
                    <w:rPr>
                      <w:b/>
                      <w:bCs/>
                      <w:color w:val="0000FF"/>
                      <w:szCs w:val="21"/>
                    </w:rPr>
                  </w:pPr>
                  <w:r>
                    <w:rPr>
                      <w:rFonts w:hint="eastAsia"/>
                      <w:b/>
                      <w:bCs/>
                      <w:color w:val="0000FF"/>
                      <w:szCs w:val="21"/>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vMerge w:val="restart"/>
                  <w:vAlign w:val="center"/>
                </w:tcPr>
                <w:p>
                  <w:pPr>
                    <w:jc w:val="center"/>
                    <w:rPr>
                      <w:color w:val="0000FF"/>
                      <w:szCs w:val="21"/>
                    </w:rPr>
                  </w:pPr>
                  <w:r>
                    <w:rPr>
                      <w:rFonts w:hint="eastAsia"/>
                      <w:color w:val="0000FF"/>
                      <w:szCs w:val="21"/>
                    </w:rPr>
                    <w:t>废气</w:t>
                  </w:r>
                </w:p>
              </w:tc>
              <w:tc>
                <w:tcPr>
                  <w:tcW w:w="734" w:type="pct"/>
                  <w:vAlign w:val="center"/>
                </w:tcPr>
                <w:p>
                  <w:pPr>
                    <w:jc w:val="center"/>
                    <w:rPr>
                      <w:color w:val="0000FF"/>
                      <w:szCs w:val="21"/>
                    </w:rPr>
                  </w:pPr>
                  <w:r>
                    <w:rPr>
                      <w:rFonts w:hint="eastAsia"/>
                      <w:color w:val="0000FF"/>
                      <w:szCs w:val="21"/>
                    </w:rPr>
                    <w:t>原料运输</w:t>
                  </w:r>
                </w:p>
              </w:tc>
              <w:tc>
                <w:tcPr>
                  <w:tcW w:w="741" w:type="pct"/>
                  <w:vAlign w:val="center"/>
                </w:tcPr>
                <w:p>
                  <w:pPr>
                    <w:jc w:val="center"/>
                    <w:rPr>
                      <w:color w:val="0000FF"/>
                      <w:szCs w:val="21"/>
                    </w:rPr>
                  </w:pPr>
                  <w:r>
                    <w:rPr>
                      <w:rFonts w:hint="eastAsia"/>
                      <w:color w:val="0000FF"/>
                      <w:szCs w:val="21"/>
                    </w:rPr>
                    <w:t>G</w:t>
                  </w:r>
                  <w:r>
                    <w:rPr>
                      <w:color w:val="0000FF"/>
                      <w:szCs w:val="21"/>
                    </w:rPr>
                    <w:t>1</w:t>
                  </w:r>
                  <w:r>
                    <w:rPr>
                      <w:rFonts w:hint="eastAsia"/>
                      <w:color w:val="0000FF"/>
                      <w:szCs w:val="21"/>
                    </w:rPr>
                    <w:t>、G</w:t>
                  </w:r>
                  <w:r>
                    <w:rPr>
                      <w:color w:val="0000FF"/>
                      <w:szCs w:val="21"/>
                    </w:rPr>
                    <w:t>2</w:t>
                  </w:r>
                </w:p>
              </w:tc>
              <w:tc>
                <w:tcPr>
                  <w:tcW w:w="2178" w:type="pct"/>
                  <w:vAlign w:val="center"/>
                </w:tcPr>
                <w:p>
                  <w:pPr>
                    <w:jc w:val="center"/>
                    <w:rPr>
                      <w:color w:val="0000FF"/>
                      <w:szCs w:val="21"/>
                    </w:rPr>
                  </w:pPr>
                  <w:r>
                    <w:rPr>
                      <w:rFonts w:hint="eastAsia"/>
                      <w:color w:val="0000FF"/>
                      <w:szCs w:val="21"/>
                    </w:rPr>
                    <w:t>车辆尾气、粉尘（TSP）</w:t>
                  </w:r>
                </w:p>
              </w:tc>
              <w:tc>
                <w:tcPr>
                  <w:tcW w:w="944" w:type="pct"/>
                  <w:vAlign w:val="center"/>
                </w:tcPr>
                <w:p>
                  <w:pPr>
                    <w:jc w:val="center"/>
                    <w:rPr>
                      <w:color w:val="0000FF"/>
                      <w:szCs w:val="21"/>
                    </w:rPr>
                  </w:pPr>
                  <w:r>
                    <w:rPr>
                      <w:rFonts w:hint="eastAsia"/>
                      <w:color w:val="0000FF"/>
                      <w:szCs w:val="21"/>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vMerge w:val="continue"/>
                  <w:vAlign w:val="center"/>
                </w:tcPr>
                <w:p>
                  <w:pPr>
                    <w:jc w:val="center"/>
                    <w:rPr>
                      <w:color w:val="0000FF"/>
                      <w:szCs w:val="21"/>
                    </w:rPr>
                  </w:pPr>
                </w:p>
              </w:tc>
              <w:tc>
                <w:tcPr>
                  <w:tcW w:w="734" w:type="pct"/>
                  <w:vAlign w:val="center"/>
                </w:tcPr>
                <w:p>
                  <w:pPr>
                    <w:jc w:val="center"/>
                    <w:rPr>
                      <w:color w:val="0000FF"/>
                      <w:szCs w:val="21"/>
                    </w:rPr>
                  </w:pPr>
                  <w:r>
                    <w:rPr>
                      <w:rFonts w:hint="eastAsia"/>
                      <w:color w:val="0000FF"/>
                      <w:szCs w:val="21"/>
                    </w:rPr>
                    <w:t>原料堆棚</w:t>
                  </w:r>
                </w:p>
              </w:tc>
              <w:tc>
                <w:tcPr>
                  <w:tcW w:w="741" w:type="pct"/>
                  <w:vAlign w:val="center"/>
                </w:tcPr>
                <w:p>
                  <w:pPr>
                    <w:jc w:val="center"/>
                    <w:rPr>
                      <w:color w:val="0000FF"/>
                      <w:szCs w:val="21"/>
                    </w:rPr>
                  </w:pPr>
                  <w:r>
                    <w:rPr>
                      <w:rFonts w:hint="eastAsia"/>
                      <w:color w:val="0000FF"/>
                      <w:szCs w:val="21"/>
                    </w:rPr>
                    <w:t>G</w:t>
                  </w:r>
                  <w:r>
                    <w:rPr>
                      <w:color w:val="0000FF"/>
                      <w:szCs w:val="21"/>
                    </w:rPr>
                    <w:t>2</w:t>
                  </w:r>
                </w:p>
              </w:tc>
              <w:tc>
                <w:tcPr>
                  <w:tcW w:w="2178" w:type="pct"/>
                  <w:vAlign w:val="center"/>
                </w:tcPr>
                <w:p>
                  <w:pPr>
                    <w:jc w:val="center"/>
                    <w:rPr>
                      <w:color w:val="0000FF"/>
                      <w:szCs w:val="21"/>
                    </w:rPr>
                  </w:pPr>
                  <w:r>
                    <w:rPr>
                      <w:rFonts w:hint="eastAsia"/>
                      <w:color w:val="0000FF"/>
                      <w:szCs w:val="21"/>
                    </w:rPr>
                    <w:t>粉尘（TSP）</w:t>
                  </w:r>
                </w:p>
              </w:tc>
              <w:tc>
                <w:tcPr>
                  <w:tcW w:w="944" w:type="pct"/>
                  <w:vAlign w:val="center"/>
                </w:tcPr>
                <w:p>
                  <w:pPr>
                    <w:jc w:val="center"/>
                    <w:rPr>
                      <w:color w:val="0000FF"/>
                      <w:szCs w:val="21"/>
                    </w:rPr>
                  </w:pPr>
                  <w:r>
                    <w:rPr>
                      <w:rFonts w:hint="eastAsia"/>
                      <w:color w:val="0000FF"/>
                      <w:szCs w:val="21"/>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02" w:type="pct"/>
                  <w:vMerge w:val="continue"/>
                  <w:vAlign w:val="center"/>
                </w:tcPr>
                <w:p>
                  <w:pPr>
                    <w:jc w:val="center"/>
                    <w:rPr>
                      <w:color w:val="0000FF"/>
                      <w:szCs w:val="21"/>
                    </w:rPr>
                  </w:pPr>
                </w:p>
              </w:tc>
              <w:tc>
                <w:tcPr>
                  <w:tcW w:w="734" w:type="pct"/>
                  <w:vAlign w:val="center"/>
                </w:tcPr>
                <w:p>
                  <w:pPr>
                    <w:jc w:val="center"/>
                    <w:rPr>
                      <w:color w:val="0000FF"/>
                      <w:szCs w:val="21"/>
                    </w:rPr>
                  </w:pPr>
                  <w:r>
                    <w:rPr>
                      <w:rFonts w:hint="eastAsia"/>
                      <w:color w:val="0000FF"/>
                      <w:szCs w:val="21"/>
                    </w:rPr>
                    <w:t>颚式破碎机</w:t>
                  </w:r>
                </w:p>
              </w:tc>
              <w:tc>
                <w:tcPr>
                  <w:tcW w:w="741" w:type="pct"/>
                  <w:vAlign w:val="center"/>
                </w:tcPr>
                <w:p>
                  <w:pPr>
                    <w:jc w:val="center"/>
                    <w:rPr>
                      <w:color w:val="0000FF"/>
                      <w:szCs w:val="21"/>
                    </w:rPr>
                  </w:pPr>
                  <w:r>
                    <w:rPr>
                      <w:rFonts w:hint="eastAsia"/>
                      <w:color w:val="0000FF"/>
                      <w:szCs w:val="21"/>
                    </w:rPr>
                    <w:t>G</w:t>
                  </w:r>
                  <w:r>
                    <w:rPr>
                      <w:color w:val="0000FF"/>
                      <w:szCs w:val="21"/>
                    </w:rPr>
                    <w:t>2</w:t>
                  </w:r>
                </w:p>
              </w:tc>
              <w:tc>
                <w:tcPr>
                  <w:tcW w:w="2178" w:type="pct"/>
                  <w:vAlign w:val="center"/>
                </w:tcPr>
                <w:p>
                  <w:pPr>
                    <w:jc w:val="center"/>
                    <w:rPr>
                      <w:color w:val="0000FF"/>
                      <w:szCs w:val="21"/>
                    </w:rPr>
                  </w:pPr>
                  <w:r>
                    <w:rPr>
                      <w:rFonts w:hint="eastAsia"/>
                      <w:color w:val="0000FF"/>
                      <w:szCs w:val="21"/>
                    </w:rPr>
                    <w:t>粉尘（TSP）</w:t>
                  </w:r>
                </w:p>
              </w:tc>
              <w:tc>
                <w:tcPr>
                  <w:tcW w:w="944" w:type="pct"/>
                  <w:vAlign w:val="center"/>
                </w:tcPr>
                <w:p>
                  <w:pPr>
                    <w:jc w:val="center"/>
                    <w:rPr>
                      <w:color w:val="0000FF"/>
                      <w:szCs w:val="21"/>
                    </w:rPr>
                  </w:pPr>
                  <w:r>
                    <w:rPr>
                      <w:rFonts w:hint="eastAsia"/>
                      <w:color w:val="0000FF"/>
                      <w:szCs w:val="21"/>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vMerge w:val="continue"/>
                  <w:vAlign w:val="center"/>
                </w:tcPr>
                <w:p>
                  <w:pPr>
                    <w:jc w:val="center"/>
                    <w:rPr>
                      <w:color w:val="0000FF"/>
                      <w:szCs w:val="21"/>
                    </w:rPr>
                  </w:pPr>
                </w:p>
              </w:tc>
              <w:tc>
                <w:tcPr>
                  <w:tcW w:w="734" w:type="pct"/>
                  <w:vAlign w:val="center"/>
                </w:tcPr>
                <w:p>
                  <w:pPr>
                    <w:jc w:val="center"/>
                    <w:rPr>
                      <w:color w:val="0000FF"/>
                      <w:szCs w:val="21"/>
                    </w:rPr>
                  </w:pPr>
                  <w:r>
                    <w:rPr>
                      <w:rFonts w:hint="eastAsia"/>
                      <w:color w:val="0000FF"/>
                      <w:szCs w:val="21"/>
                    </w:rPr>
                    <w:t>圆锥破碎机</w:t>
                  </w:r>
                </w:p>
              </w:tc>
              <w:tc>
                <w:tcPr>
                  <w:tcW w:w="741" w:type="pct"/>
                  <w:vAlign w:val="center"/>
                </w:tcPr>
                <w:p>
                  <w:pPr>
                    <w:jc w:val="center"/>
                    <w:rPr>
                      <w:color w:val="0000FF"/>
                      <w:szCs w:val="21"/>
                    </w:rPr>
                  </w:pPr>
                  <w:r>
                    <w:rPr>
                      <w:rFonts w:hint="eastAsia"/>
                      <w:color w:val="0000FF"/>
                      <w:szCs w:val="21"/>
                    </w:rPr>
                    <w:t>G</w:t>
                  </w:r>
                  <w:r>
                    <w:rPr>
                      <w:color w:val="0000FF"/>
                      <w:szCs w:val="21"/>
                    </w:rPr>
                    <w:t>2</w:t>
                  </w:r>
                </w:p>
              </w:tc>
              <w:tc>
                <w:tcPr>
                  <w:tcW w:w="2178" w:type="pct"/>
                  <w:vAlign w:val="center"/>
                </w:tcPr>
                <w:p>
                  <w:pPr>
                    <w:jc w:val="center"/>
                    <w:rPr>
                      <w:color w:val="0000FF"/>
                      <w:szCs w:val="21"/>
                    </w:rPr>
                  </w:pPr>
                  <w:r>
                    <w:rPr>
                      <w:rFonts w:hint="eastAsia"/>
                      <w:color w:val="0000FF"/>
                      <w:szCs w:val="21"/>
                    </w:rPr>
                    <w:t>粉尘（TSP）</w:t>
                  </w:r>
                </w:p>
              </w:tc>
              <w:tc>
                <w:tcPr>
                  <w:tcW w:w="944" w:type="pct"/>
                  <w:vAlign w:val="center"/>
                </w:tcPr>
                <w:p>
                  <w:pPr>
                    <w:jc w:val="center"/>
                    <w:rPr>
                      <w:color w:val="0000FF"/>
                      <w:szCs w:val="21"/>
                    </w:rPr>
                  </w:pPr>
                  <w:r>
                    <w:rPr>
                      <w:rFonts w:hint="eastAsia"/>
                      <w:color w:val="0000FF"/>
                      <w:szCs w:val="21"/>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vMerge w:val="continue"/>
                  <w:vAlign w:val="center"/>
                </w:tcPr>
                <w:p>
                  <w:pPr>
                    <w:jc w:val="center"/>
                    <w:rPr>
                      <w:color w:val="0000FF"/>
                      <w:szCs w:val="21"/>
                    </w:rPr>
                  </w:pPr>
                </w:p>
              </w:tc>
              <w:tc>
                <w:tcPr>
                  <w:tcW w:w="734" w:type="pct"/>
                  <w:vAlign w:val="center"/>
                </w:tcPr>
                <w:p>
                  <w:pPr>
                    <w:jc w:val="center"/>
                    <w:rPr>
                      <w:color w:val="0000FF"/>
                      <w:szCs w:val="21"/>
                    </w:rPr>
                  </w:pPr>
                  <w:r>
                    <w:rPr>
                      <w:rFonts w:hint="eastAsia"/>
                      <w:color w:val="0000FF"/>
                      <w:szCs w:val="21"/>
                    </w:rPr>
                    <w:t>振动筛1</w:t>
                  </w:r>
                </w:p>
              </w:tc>
              <w:tc>
                <w:tcPr>
                  <w:tcW w:w="741" w:type="pct"/>
                  <w:vAlign w:val="center"/>
                </w:tcPr>
                <w:p>
                  <w:pPr>
                    <w:jc w:val="center"/>
                    <w:rPr>
                      <w:color w:val="0000FF"/>
                      <w:szCs w:val="21"/>
                    </w:rPr>
                  </w:pPr>
                  <w:r>
                    <w:rPr>
                      <w:rFonts w:hint="eastAsia"/>
                      <w:color w:val="0000FF"/>
                      <w:szCs w:val="21"/>
                    </w:rPr>
                    <w:t>G</w:t>
                  </w:r>
                  <w:r>
                    <w:rPr>
                      <w:color w:val="0000FF"/>
                      <w:szCs w:val="21"/>
                    </w:rPr>
                    <w:t>2</w:t>
                  </w:r>
                </w:p>
              </w:tc>
              <w:tc>
                <w:tcPr>
                  <w:tcW w:w="2178" w:type="pct"/>
                  <w:vAlign w:val="center"/>
                </w:tcPr>
                <w:p>
                  <w:pPr>
                    <w:jc w:val="center"/>
                    <w:rPr>
                      <w:color w:val="0000FF"/>
                      <w:szCs w:val="21"/>
                    </w:rPr>
                  </w:pPr>
                  <w:r>
                    <w:rPr>
                      <w:rFonts w:hint="eastAsia"/>
                      <w:color w:val="0000FF"/>
                      <w:szCs w:val="21"/>
                    </w:rPr>
                    <w:t>粉尘（TSP）</w:t>
                  </w:r>
                </w:p>
              </w:tc>
              <w:tc>
                <w:tcPr>
                  <w:tcW w:w="944" w:type="pct"/>
                  <w:vAlign w:val="center"/>
                </w:tcPr>
                <w:p>
                  <w:pPr>
                    <w:jc w:val="center"/>
                    <w:rPr>
                      <w:color w:val="0000FF"/>
                      <w:szCs w:val="21"/>
                    </w:rPr>
                  </w:pPr>
                  <w:r>
                    <w:rPr>
                      <w:rFonts w:hint="eastAsia"/>
                      <w:color w:val="0000FF"/>
                      <w:szCs w:val="21"/>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vMerge w:val="continue"/>
                  <w:vAlign w:val="center"/>
                </w:tcPr>
                <w:p>
                  <w:pPr>
                    <w:jc w:val="center"/>
                    <w:rPr>
                      <w:color w:val="0000FF"/>
                      <w:szCs w:val="21"/>
                    </w:rPr>
                  </w:pPr>
                </w:p>
              </w:tc>
              <w:tc>
                <w:tcPr>
                  <w:tcW w:w="734" w:type="pct"/>
                  <w:vAlign w:val="center"/>
                </w:tcPr>
                <w:p>
                  <w:pPr>
                    <w:jc w:val="center"/>
                    <w:rPr>
                      <w:color w:val="0000FF"/>
                      <w:szCs w:val="21"/>
                    </w:rPr>
                  </w:pPr>
                  <w:r>
                    <w:rPr>
                      <w:rFonts w:hint="eastAsia"/>
                      <w:color w:val="0000FF"/>
                      <w:szCs w:val="21"/>
                    </w:rPr>
                    <w:t>输送带1</w:t>
                  </w:r>
                </w:p>
              </w:tc>
              <w:tc>
                <w:tcPr>
                  <w:tcW w:w="741" w:type="pct"/>
                  <w:vAlign w:val="center"/>
                </w:tcPr>
                <w:p>
                  <w:pPr>
                    <w:jc w:val="center"/>
                    <w:rPr>
                      <w:color w:val="0000FF"/>
                      <w:szCs w:val="21"/>
                    </w:rPr>
                  </w:pPr>
                  <w:r>
                    <w:rPr>
                      <w:rFonts w:hint="eastAsia"/>
                      <w:color w:val="0000FF"/>
                      <w:szCs w:val="21"/>
                    </w:rPr>
                    <w:t>G</w:t>
                  </w:r>
                  <w:r>
                    <w:rPr>
                      <w:color w:val="0000FF"/>
                      <w:szCs w:val="21"/>
                    </w:rPr>
                    <w:t>2</w:t>
                  </w:r>
                </w:p>
              </w:tc>
              <w:tc>
                <w:tcPr>
                  <w:tcW w:w="2178" w:type="pct"/>
                  <w:vAlign w:val="center"/>
                </w:tcPr>
                <w:p>
                  <w:pPr>
                    <w:jc w:val="center"/>
                    <w:rPr>
                      <w:color w:val="0000FF"/>
                      <w:szCs w:val="21"/>
                    </w:rPr>
                  </w:pPr>
                  <w:r>
                    <w:rPr>
                      <w:rFonts w:hint="eastAsia"/>
                      <w:color w:val="0000FF"/>
                      <w:szCs w:val="21"/>
                    </w:rPr>
                    <w:t>粉尘（TSP）</w:t>
                  </w:r>
                </w:p>
              </w:tc>
              <w:tc>
                <w:tcPr>
                  <w:tcW w:w="944" w:type="pct"/>
                  <w:vAlign w:val="center"/>
                </w:tcPr>
                <w:p>
                  <w:pPr>
                    <w:jc w:val="center"/>
                    <w:rPr>
                      <w:color w:val="0000FF"/>
                      <w:szCs w:val="21"/>
                    </w:rPr>
                  </w:pPr>
                  <w:r>
                    <w:rPr>
                      <w:rFonts w:hint="eastAsia"/>
                      <w:color w:val="0000FF"/>
                      <w:szCs w:val="21"/>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02" w:type="pct"/>
                  <w:vMerge w:val="continue"/>
                  <w:vAlign w:val="center"/>
                </w:tcPr>
                <w:p>
                  <w:pPr>
                    <w:jc w:val="center"/>
                    <w:rPr>
                      <w:color w:val="0000FF"/>
                      <w:szCs w:val="21"/>
                    </w:rPr>
                  </w:pPr>
                </w:p>
              </w:tc>
              <w:tc>
                <w:tcPr>
                  <w:tcW w:w="734" w:type="pct"/>
                  <w:vAlign w:val="center"/>
                </w:tcPr>
                <w:p>
                  <w:pPr>
                    <w:jc w:val="center"/>
                    <w:rPr>
                      <w:color w:val="0000FF"/>
                      <w:szCs w:val="21"/>
                    </w:rPr>
                  </w:pPr>
                  <w:r>
                    <w:rPr>
                      <w:rFonts w:hint="eastAsia"/>
                      <w:color w:val="0000FF"/>
                      <w:szCs w:val="21"/>
                    </w:rPr>
                    <w:t>输送带2</w:t>
                  </w:r>
                </w:p>
              </w:tc>
              <w:tc>
                <w:tcPr>
                  <w:tcW w:w="741" w:type="pct"/>
                  <w:vAlign w:val="center"/>
                </w:tcPr>
                <w:p>
                  <w:pPr>
                    <w:jc w:val="center"/>
                    <w:rPr>
                      <w:color w:val="0000FF"/>
                      <w:szCs w:val="21"/>
                    </w:rPr>
                  </w:pPr>
                  <w:r>
                    <w:rPr>
                      <w:rFonts w:hint="eastAsia"/>
                      <w:color w:val="0000FF"/>
                      <w:szCs w:val="21"/>
                    </w:rPr>
                    <w:t>G</w:t>
                  </w:r>
                  <w:r>
                    <w:rPr>
                      <w:color w:val="0000FF"/>
                      <w:szCs w:val="21"/>
                    </w:rPr>
                    <w:t>2</w:t>
                  </w:r>
                </w:p>
              </w:tc>
              <w:tc>
                <w:tcPr>
                  <w:tcW w:w="2178" w:type="pct"/>
                  <w:vAlign w:val="center"/>
                </w:tcPr>
                <w:p>
                  <w:pPr>
                    <w:jc w:val="center"/>
                    <w:rPr>
                      <w:color w:val="0000FF"/>
                      <w:szCs w:val="21"/>
                    </w:rPr>
                  </w:pPr>
                  <w:r>
                    <w:rPr>
                      <w:rFonts w:hint="eastAsia"/>
                      <w:color w:val="0000FF"/>
                      <w:szCs w:val="21"/>
                    </w:rPr>
                    <w:t>粉尘（TSP）</w:t>
                  </w:r>
                </w:p>
              </w:tc>
              <w:tc>
                <w:tcPr>
                  <w:tcW w:w="944" w:type="pct"/>
                  <w:vAlign w:val="center"/>
                </w:tcPr>
                <w:p>
                  <w:pPr>
                    <w:jc w:val="center"/>
                    <w:rPr>
                      <w:color w:val="0000FF"/>
                      <w:szCs w:val="21"/>
                    </w:rPr>
                  </w:pPr>
                  <w:r>
                    <w:rPr>
                      <w:rFonts w:hint="eastAsia"/>
                      <w:color w:val="0000FF"/>
                      <w:szCs w:val="21"/>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vMerge w:val="continue"/>
                  <w:vAlign w:val="center"/>
                </w:tcPr>
                <w:p>
                  <w:pPr>
                    <w:jc w:val="center"/>
                    <w:rPr>
                      <w:color w:val="0000FF"/>
                      <w:szCs w:val="21"/>
                    </w:rPr>
                  </w:pPr>
                </w:p>
              </w:tc>
              <w:tc>
                <w:tcPr>
                  <w:tcW w:w="734" w:type="pct"/>
                  <w:vAlign w:val="center"/>
                </w:tcPr>
                <w:p>
                  <w:pPr>
                    <w:jc w:val="center"/>
                    <w:rPr>
                      <w:color w:val="0000FF"/>
                      <w:szCs w:val="21"/>
                    </w:rPr>
                  </w:pPr>
                  <w:r>
                    <w:rPr>
                      <w:rFonts w:hint="eastAsia"/>
                      <w:color w:val="0000FF"/>
                      <w:szCs w:val="21"/>
                    </w:rPr>
                    <w:t>高效制砂机</w:t>
                  </w:r>
                </w:p>
              </w:tc>
              <w:tc>
                <w:tcPr>
                  <w:tcW w:w="741" w:type="pct"/>
                  <w:vAlign w:val="center"/>
                </w:tcPr>
                <w:p>
                  <w:pPr>
                    <w:jc w:val="center"/>
                    <w:rPr>
                      <w:color w:val="0000FF"/>
                      <w:szCs w:val="21"/>
                    </w:rPr>
                  </w:pPr>
                  <w:r>
                    <w:rPr>
                      <w:rFonts w:hint="eastAsia"/>
                      <w:color w:val="0000FF"/>
                      <w:szCs w:val="21"/>
                    </w:rPr>
                    <w:t>G</w:t>
                  </w:r>
                  <w:r>
                    <w:rPr>
                      <w:color w:val="0000FF"/>
                      <w:szCs w:val="21"/>
                    </w:rPr>
                    <w:t>2</w:t>
                  </w:r>
                </w:p>
              </w:tc>
              <w:tc>
                <w:tcPr>
                  <w:tcW w:w="2178" w:type="pct"/>
                  <w:vAlign w:val="center"/>
                </w:tcPr>
                <w:p>
                  <w:pPr>
                    <w:jc w:val="center"/>
                    <w:rPr>
                      <w:color w:val="0000FF"/>
                      <w:szCs w:val="21"/>
                    </w:rPr>
                  </w:pPr>
                  <w:r>
                    <w:rPr>
                      <w:rFonts w:hint="eastAsia"/>
                      <w:color w:val="0000FF"/>
                      <w:szCs w:val="21"/>
                    </w:rPr>
                    <w:t>粉尘（TSP）</w:t>
                  </w:r>
                </w:p>
              </w:tc>
              <w:tc>
                <w:tcPr>
                  <w:tcW w:w="944" w:type="pct"/>
                  <w:vAlign w:val="center"/>
                </w:tcPr>
                <w:p>
                  <w:pPr>
                    <w:jc w:val="center"/>
                    <w:rPr>
                      <w:color w:val="0000FF"/>
                      <w:szCs w:val="21"/>
                    </w:rPr>
                  </w:pPr>
                  <w:r>
                    <w:rPr>
                      <w:rFonts w:hint="eastAsia"/>
                      <w:color w:val="0000FF"/>
                      <w:szCs w:val="21"/>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vMerge w:val="continue"/>
                  <w:vAlign w:val="center"/>
                </w:tcPr>
                <w:p>
                  <w:pPr>
                    <w:jc w:val="center"/>
                    <w:rPr>
                      <w:color w:val="0000FF"/>
                      <w:szCs w:val="21"/>
                    </w:rPr>
                  </w:pPr>
                </w:p>
              </w:tc>
              <w:tc>
                <w:tcPr>
                  <w:tcW w:w="734" w:type="pct"/>
                  <w:vAlign w:val="center"/>
                </w:tcPr>
                <w:p>
                  <w:pPr>
                    <w:jc w:val="center"/>
                    <w:rPr>
                      <w:color w:val="0000FF"/>
                      <w:szCs w:val="21"/>
                    </w:rPr>
                  </w:pPr>
                  <w:r>
                    <w:rPr>
                      <w:rFonts w:hint="eastAsia"/>
                      <w:color w:val="0000FF"/>
                      <w:szCs w:val="21"/>
                    </w:rPr>
                    <w:t>输送带3</w:t>
                  </w:r>
                </w:p>
              </w:tc>
              <w:tc>
                <w:tcPr>
                  <w:tcW w:w="741" w:type="pct"/>
                  <w:vAlign w:val="center"/>
                </w:tcPr>
                <w:p>
                  <w:pPr>
                    <w:jc w:val="center"/>
                    <w:rPr>
                      <w:color w:val="0000FF"/>
                      <w:szCs w:val="21"/>
                    </w:rPr>
                  </w:pPr>
                  <w:r>
                    <w:rPr>
                      <w:rFonts w:hint="eastAsia"/>
                      <w:color w:val="0000FF"/>
                      <w:szCs w:val="21"/>
                    </w:rPr>
                    <w:t>G</w:t>
                  </w:r>
                  <w:r>
                    <w:rPr>
                      <w:color w:val="0000FF"/>
                      <w:szCs w:val="21"/>
                    </w:rPr>
                    <w:t>2</w:t>
                  </w:r>
                </w:p>
              </w:tc>
              <w:tc>
                <w:tcPr>
                  <w:tcW w:w="2178" w:type="pct"/>
                  <w:vAlign w:val="center"/>
                </w:tcPr>
                <w:p>
                  <w:pPr>
                    <w:jc w:val="center"/>
                    <w:rPr>
                      <w:color w:val="0000FF"/>
                      <w:szCs w:val="21"/>
                    </w:rPr>
                  </w:pPr>
                  <w:r>
                    <w:rPr>
                      <w:rFonts w:hint="eastAsia"/>
                      <w:color w:val="0000FF"/>
                      <w:szCs w:val="21"/>
                    </w:rPr>
                    <w:t>粉尘（TSP）</w:t>
                  </w:r>
                </w:p>
              </w:tc>
              <w:tc>
                <w:tcPr>
                  <w:tcW w:w="944" w:type="pct"/>
                  <w:vAlign w:val="center"/>
                </w:tcPr>
                <w:p>
                  <w:pPr>
                    <w:jc w:val="center"/>
                    <w:rPr>
                      <w:color w:val="0000FF"/>
                      <w:szCs w:val="21"/>
                    </w:rPr>
                  </w:pPr>
                  <w:r>
                    <w:rPr>
                      <w:rFonts w:hint="eastAsia"/>
                      <w:color w:val="0000FF"/>
                      <w:szCs w:val="21"/>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vMerge w:val="continue"/>
                  <w:vAlign w:val="center"/>
                </w:tcPr>
                <w:p>
                  <w:pPr>
                    <w:jc w:val="center"/>
                    <w:rPr>
                      <w:color w:val="0000FF"/>
                      <w:szCs w:val="21"/>
                    </w:rPr>
                  </w:pPr>
                </w:p>
              </w:tc>
              <w:tc>
                <w:tcPr>
                  <w:tcW w:w="734" w:type="pct"/>
                  <w:vAlign w:val="center"/>
                </w:tcPr>
                <w:p>
                  <w:pPr>
                    <w:jc w:val="center"/>
                    <w:rPr>
                      <w:color w:val="0000FF"/>
                      <w:szCs w:val="21"/>
                    </w:rPr>
                  </w:pPr>
                  <w:r>
                    <w:rPr>
                      <w:rFonts w:hint="eastAsia"/>
                      <w:color w:val="0000FF"/>
                      <w:szCs w:val="21"/>
                    </w:rPr>
                    <w:t>振动筛2</w:t>
                  </w:r>
                </w:p>
              </w:tc>
              <w:tc>
                <w:tcPr>
                  <w:tcW w:w="741" w:type="pct"/>
                  <w:vAlign w:val="center"/>
                </w:tcPr>
                <w:p>
                  <w:pPr>
                    <w:jc w:val="center"/>
                    <w:rPr>
                      <w:color w:val="0000FF"/>
                      <w:szCs w:val="21"/>
                    </w:rPr>
                  </w:pPr>
                  <w:r>
                    <w:rPr>
                      <w:rFonts w:hint="eastAsia"/>
                      <w:color w:val="0000FF"/>
                      <w:szCs w:val="21"/>
                    </w:rPr>
                    <w:t>G</w:t>
                  </w:r>
                  <w:r>
                    <w:rPr>
                      <w:color w:val="0000FF"/>
                      <w:szCs w:val="21"/>
                    </w:rPr>
                    <w:t>2</w:t>
                  </w:r>
                </w:p>
              </w:tc>
              <w:tc>
                <w:tcPr>
                  <w:tcW w:w="2178" w:type="pct"/>
                  <w:vAlign w:val="center"/>
                </w:tcPr>
                <w:p>
                  <w:pPr>
                    <w:jc w:val="center"/>
                    <w:rPr>
                      <w:color w:val="0000FF"/>
                      <w:szCs w:val="21"/>
                    </w:rPr>
                  </w:pPr>
                  <w:r>
                    <w:rPr>
                      <w:rFonts w:hint="eastAsia"/>
                      <w:color w:val="0000FF"/>
                      <w:szCs w:val="21"/>
                    </w:rPr>
                    <w:t>粉尘（TSP）</w:t>
                  </w:r>
                </w:p>
              </w:tc>
              <w:tc>
                <w:tcPr>
                  <w:tcW w:w="944" w:type="pct"/>
                  <w:vAlign w:val="center"/>
                </w:tcPr>
                <w:p>
                  <w:pPr>
                    <w:jc w:val="center"/>
                    <w:rPr>
                      <w:color w:val="0000FF"/>
                      <w:szCs w:val="21"/>
                    </w:rPr>
                  </w:pPr>
                  <w:r>
                    <w:rPr>
                      <w:rFonts w:hint="eastAsia"/>
                      <w:color w:val="0000FF"/>
                      <w:szCs w:val="21"/>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02" w:type="pct"/>
                  <w:vMerge w:val="continue"/>
                  <w:vAlign w:val="center"/>
                </w:tcPr>
                <w:p>
                  <w:pPr>
                    <w:jc w:val="center"/>
                    <w:rPr>
                      <w:color w:val="0000FF"/>
                      <w:szCs w:val="21"/>
                    </w:rPr>
                  </w:pPr>
                </w:p>
              </w:tc>
              <w:tc>
                <w:tcPr>
                  <w:tcW w:w="734" w:type="pct"/>
                  <w:vAlign w:val="center"/>
                </w:tcPr>
                <w:p>
                  <w:pPr>
                    <w:jc w:val="center"/>
                    <w:rPr>
                      <w:color w:val="0000FF"/>
                      <w:szCs w:val="21"/>
                    </w:rPr>
                  </w:pPr>
                  <w:r>
                    <w:rPr>
                      <w:rFonts w:hint="eastAsia"/>
                      <w:color w:val="0000FF"/>
                      <w:szCs w:val="21"/>
                    </w:rPr>
                    <w:t>输送带4</w:t>
                  </w:r>
                </w:p>
              </w:tc>
              <w:tc>
                <w:tcPr>
                  <w:tcW w:w="741" w:type="pct"/>
                  <w:vAlign w:val="center"/>
                </w:tcPr>
                <w:p>
                  <w:pPr>
                    <w:jc w:val="center"/>
                    <w:rPr>
                      <w:color w:val="0000FF"/>
                      <w:szCs w:val="21"/>
                    </w:rPr>
                  </w:pPr>
                  <w:r>
                    <w:rPr>
                      <w:rFonts w:hint="eastAsia"/>
                      <w:color w:val="0000FF"/>
                      <w:szCs w:val="21"/>
                    </w:rPr>
                    <w:t>G</w:t>
                  </w:r>
                  <w:r>
                    <w:rPr>
                      <w:color w:val="0000FF"/>
                      <w:szCs w:val="21"/>
                    </w:rPr>
                    <w:t>2</w:t>
                  </w:r>
                </w:p>
              </w:tc>
              <w:tc>
                <w:tcPr>
                  <w:tcW w:w="2178" w:type="pct"/>
                  <w:vAlign w:val="center"/>
                </w:tcPr>
                <w:p>
                  <w:pPr>
                    <w:jc w:val="center"/>
                    <w:rPr>
                      <w:color w:val="0000FF"/>
                      <w:szCs w:val="21"/>
                    </w:rPr>
                  </w:pPr>
                  <w:r>
                    <w:rPr>
                      <w:rFonts w:hint="eastAsia"/>
                      <w:color w:val="0000FF"/>
                      <w:szCs w:val="21"/>
                    </w:rPr>
                    <w:t>粉尘（TSP）</w:t>
                  </w:r>
                </w:p>
              </w:tc>
              <w:tc>
                <w:tcPr>
                  <w:tcW w:w="944" w:type="pct"/>
                  <w:vAlign w:val="center"/>
                </w:tcPr>
                <w:p>
                  <w:pPr>
                    <w:jc w:val="center"/>
                    <w:rPr>
                      <w:color w:val="0000FF"/>
                      <w:szCs w:val="21"/>
                    </w:rPr>
                  </w:pPr>
                  <w:r>
                    <w:rPr>
                      <w:rFonts w:hint="eastAsia"/>
                      <w:color w:val="0000FF"/>
                      <w:szCs w:val="21"/>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vMerge w:val="continue"/>
                  <w:vAlign w:val="center"/>
                </w:tcPr>
                <w:p>
                  <w:pPr>
                    <w:jc w:val="center"/>
                    <w:rPr>
                      <w:color w:val="0000FF"/>
                      <w:szCs w:val="21"/>
                    </w:rPr>
                  </w:pPr>
                </w:p>
              </w:tc>
              <w:tc>
                <w:tcPr>
                  <w:tcW w:w="734" w:type="pct"/>
                  <w:vAlign w:val="center"/>
                </w:tcPr>
                <w:p>
                  <w:pPr>
                    <w:jc w:val="center"/>
                    <w:rPr>
                      <w:color w:val="0000FF"/>
                      <w:szCs w:val="21"/>
                    </w:rPr>
                  </w:pPr>
                  <w:r>
                    <w:rPr>
                      <w:rFonts w:hint="eastAsia"/>
                      <w:color w:val="0000FF"/>
                      <w:szCs w:val="21"/>
                    </w:rPr>
                    <w:t>食堂</w:t>
                  </w:r>
                </w:p>
              </w:tc>
              <w:tc>
                <w:tcPr>
                  <w:tcW w:w="741" w:type="pct"/>
                  <w:vAlign w:val="center"/>
                </w:tcPr>
                <w:p>
                  <w:pPr>
                    <w:jc w:val="center"/>
                    <w:rPr>
                      <w:color w:val="0000FF"/>
                      <w:szCs w:val="21"/>
                    </w:rPr>
                  </w:pPr>
                  <w:r>
                    <w:rPr>
                      <w:rFonts w:hint="eastAsia"/>
                      <w:color w:val="0000FF"/>
                      <w:szCs w:val="21"/>
                    </w:rPr>
                    <w:t>G</w:t>
                  </w:r>
                  <w:r>
                    <w:rPr>
                      <w:color w:val="0000FF"/>
                      <w:szCs w:val="21"/>
                    </w:rPr>
                    <w:t>3</w:t>
                  </w:r>
                </w:p>
              </w:tc>
              <w:tc>
                <w:tcPr>
                  <w:tcW w:w="2178" w:type="pct"/>
                  <w:vAlign w:val="center"/>
                </w:tcPr>
                <w:p>
                  <w:pPr>
                    <w:jc w:val="center"/>
                    <w:rPr>
                      <w:color w:val="0000FF"/>
                      <w:szCs w:val="21"/>
                    </w:rPr>
                  </w:pPr>
                  <w:r>
                    <w:rPr>
                      <w:rFonts w:hint="eastAsia"/>
                      <w:color w:val="0000FF"/>
                      <w:szCs w:val="21"/>
                    </w:rPr>
                    <w:t>油烟</w:t>
                  </w:r>
                </w:p>
              </w:tc>
              <w:tc>
                <w:tcPr>
                  <w:tcW w:w="944" w:type="pct"/>
                  <w:vAlign w:val="center"/>
                </w:tcPr>
                <w:p>
                  <w:pPr>
                    <w:jc w:val="center"/>
                    <w:rPr>
                      <w:color w:val="0000FF"/>
                      <w:szCs w:val="21"/>
                    </w:rPr>
                  </w:pPr>
                  <w:r>
                    <w:rPr>
                      <w:rFonts w:hint="eastAsia"/>
                      <w:color w:val="0000FF"/>
                      <w:szCs w:val="21"/>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vMerge w:val="restart"/>
                  <w:vAlign w:val="center"/>
                </w:tcPr>
                <w:p>
                  <w:pPr>
                    <w:jc w:val="center"/>
                    <w:rPr>
                      <w:color w:val="0000FF"/>
                      <w:szCs w:val="21"/>
                    </w:rPr>
                  </w:pPr>
                  <w:r>
                    <w:rPr>
                      <w:rFonts w:hint="eastAsia"/>
                      <w:color w:val="0000FF"/>
                      <w:szCs w:val="21"/>
                    </w:rPr>
                    <w:t>废水</w:t>
                  </w:r>
                </w:p>
              </w:tc>
              <w:tc>
                <w:tcPr>
                  <w:tcW w:w="734" w:type="pct"/>
                  <w:vAlign w:val="center"/>
                </w:tcPr>
                <w:p>
                  <w:pPr>
                    <w:jc w:val="center"/>
                    <w:rPr>
                      <w:color w:val="0000FF"/>
                      <w:szCs w:val="21"/>
                    </w:rPr>
                  </w:pPr>
                  <w:r>
                    <w:rPr>
                      <w:rFonts w:hint="eastAsia"/>
                      <w:color w:val="0000FF"/>
                      <w:szCs w:val="21"/>
                    </w:rPr>
                    <w:t>洗砂机</w:t>
                  </w:r>
                </w:p>
              </w:tc>
              <w:tc>
                <w:tcPr>
                  <w:tcW w:w="741" w:type="pct"/>
                  <w:vAlign w:val="center"/>
                </w:tcPr>
                <w:p>
                  <w:pPr>
                    <w:jc w:val="center"/>
                    <w:rPr>
                      <w:color w:val="0000FF"/>
                      <w:szCs w:val="21"/>
                    </w:rPr>
                  </w:pPr>
                  <w:r>
                    <w:rPr>
                      <w:rFonts w:hint="eastAsia"/>
                      <w:color w:val="0000FF"/>
                      <w:szCs w:val="21"/>
                    </w:rPr>
                    <w:t>W</w:t>
                  </w:r>
                  <w:r>
                    <w:rPr>
                      <w:color w:val="0000FF"/>
                      <w:szCs w:val="21"/>
                    </w:rPr>
                    <w:t>1</w:t>
                  </w:r>
                </w:p>
              </w:tc>
              <w:tc>
                <w:tcPr>
                  <w:tcW w:w="2178" w:type="pct"/>
                  <w:vAlign w:val="center"/>
                </w:tcPr>
                <w:p>
                  <w:pPr>
                    <w:jc w:val="center"/>
                    <w:rPr>
                      <w:color w:val="0000FF"/>
                      <w:szCs w:val="21"/>
                    </w:rPr>
                  </w:pPr>
                  <w:r>
                    <w:rPr>
                      <w:rFonts w:hint="eastAsia"/>
                      <w:color w:val="0000FF"/>
                      <w:szCs w:val="21"/>
                    </w:rPr>
                    <w:t>洗砂废水（COD、BOD</w:t>
                  </w:r>
                  <w:r>
                    <w:rPr>
                      <w:color w:val="0000FF"/>
                      <w:szCs w:val="21"/>
                      <w:vertAlign w:val="subscript"/>
                    </w:rPr>
                    <w:t>5</w:t>
                  </w:r>
                  <w:r>
                    <w:rPr>
                      <w:rFonts w:hint="eastAsia"/>
                      <w:color w:val="0000FF"/>
                      <w:szCs w:val="21"/>
                    </w:rPr>
                    <w:t>、SS）</w:t>
                  </w:r>
                </w:p>
              </w:tc>
              <w:tc>
                <w:tcPr>
                  <w:tcW w:w="944" w:type="pct"/>
                  <w:vMerge w:val="restart"/>
                  <w:vAlign w:val="center"/>
                </w:tcPr>
                <w:p>
                  <w:pPr>
                    <w:jc w:val="center"/>
                    <w:rPr>
                      <w:color w:val="0000FF"/>
                      <w:szCs w:val="21"/>
                    </w:rPr>
                  </w:pPr>
                  <w:r>
                    <w:rPr>
                      <w:rFonts w:hint="eastAsia"/>
                      <w:color w:val="0000FF"/>
                      <w:szCs w:val="21"/>
                    </w:rPr>
                    <w:t>回用洗砂工段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vMerge w:val="continue"/>
                  <w:vAlign w:val="center"/>
                </w:tcPr>
                <w:p>
                  <w:pPr>
                    <w:jc w:val="center"/>
                    <w:rPr>
                      <w:color w:val="0000FF"/>
                      <w:szCs w:val="21"/>
                    </w:rPr>
                  </w:pPr>
                </w:p>
              </w:tc>
              <w:tc>
                <w:tcPr>
                  <w:tcW w:w="734" w:type="pct"/>
                  <w:vAlign w:val="center"/>
                </w:tcPr>
                <w:p>
                  <w:pPr>
                    <w:jc w:val="center"/>
                    <w:rPr>
                      <w:color w:val="0000FF"/>
                      <w:szCs w:val="21"/>
                    </w:rPr>
                  </w:pPr>
                  <w:r>
                    <w:rPr>
                      <w:rFonts w:hint="eastAsia"/>
                      <w:color w:val="0000FF"/>
                      <w:szCs w:val="21"/>
                    </w:rPr>
                    <w:t>职工清洗</w:t>
                  </w:r>
                </w:p>
              </w:tc>
              <w:tc>
                <w:tcPr>
                  <w:tcW w:w="741" w:type="pct"/>
                  <w:vAlign w:val="center"/>
                </w:tcPr>
                <w:p>
                  <w:pPr>
                    <w:jc w:val="center"/>
                    <w:rPr>
                      <w:color w:val="0000FF"/>
                      <w:szCs w:val="21"/>
                    </w:rPr>
                  </w:pPr>
                  <w:r>
                    <w:rPr>
                      <w:rFonts w:hint="eastAsia"/>
                      <w:color w:val="0000FF"/>
                      <w:szCs w:val="21"/>
                    </w:rPr>
                    <w:t>W</w:t>
                  </w:r>
                  <w:r>
                    <w:rPr>
                      <w:color w:val="0000FF"/>
                      <w:szCs w:val="21"/>
                    </w:rPr>
                    <w:t>2</w:t>
                  </w:r>
                </w:p>
              </w:tc>
              <w:tc>
                <w:tcPr>
                  <w:tcW w:w="2178" w:type="pct"/>
                  <w:vAlign w:val="center"/>
                </w:tcPr>
                <w:p>
                  <w:pPr>
                    <w:jc w:val="center"/>
                    <w:rPr>
                      <w:color w:val="0000FF"/>
                      <w:szCs w:val="21"/>
                    </w:rPr>
                  </w:pPr>
                  <w:r>
                    <w:rPr>
                      <w:rFonts w:hint="eastAsia"/>
                      <w:color w:val="0000FF"/>
                      <w:szCs w:val="21"/>
                    </w:rPr>
                    <w:t>生活污水（COD、BOD</w:t>
                  </w:r>
                  <w:r>
                    <w:rPr>
                      <w:color w:val="0000FF"/>
                      <w:szCs w:val="21"/>
                      <w:vertAlign w:val="subscript"/>
                    </w:rPr>
                    <w:t>5</w:t>
                  </w:r>
                  <w:r>
                    <w:rPr>
                      <w:rFonts w:hint="eastAsia"/>
                      <w:color w:val="0000FF"/>
                      <w:szCs w:val="21"/>
                    </w:rPr>
                    <w:t>、SS、石油类）</w:t>
                  </w:r>
                </w:p>
              </w:tc>
              <w:tc>
                <w:tcPr>
                  <w:tcW w:w="944" w:type="pct"/>
                  <w:vMerge w:val="continue"/>
                  <w:vAlign w:val="center"/>
                </w:tcPr>
                <w:p>
                  <w:pPr>
                    <w:jc w:val="center"/>
                    <w:rPr>
                      <w:color w:val="0000FF"/>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02" w:type="pct"/>
                  <w:vMerge w:val="continue"/>
                  <w:vAlign w:val="center"/>
                </w:tcPr>
                <w:p>
                  <w:pPr>
                    <w:jc w:val="center"/>
                    <w:rPr>
                      <w:color w:val="0000FF"/>
                      <w:szCs w:val="21"/>
                    </w:rPr>
                  </w:pPr>
                </w:p>
              </w:tc>
              <w:tc>
                <w:tcPr>
                  <w:tcW w:w="734" w:type="pct"/>
                  <w:vAlign w:val="center"/>
                </w:tcPr>
                <w:p>
                  <w:pPr>
                    <w:jc w:val="center"/>
                    <w:rPr>
                      <w:color w:val="0000FF"/>
                      <w:szCs w:val="21"/>
                    </w:rPr>
                  </w:pPr>
                  <w:r>
                    <w:rPr>
                      <w:rFonts w:hint="eastAsia"/>
                      <w:color w:val="0000FF"/>
                      <w:szCs w:val="21"/>
                    </w:rPr>
                    <w:t>餐饮活动</w:t>
                  </w:r>
                </w:p>
              </w:tc>
              <w:tc>
                <w:tcPr>
                  <w:tcW w:w="741" w:type="pct"/>
                  <w:vAlign w:val="center"/>
                </w:tcPr>
                <w:p>
                  <w:pPr>
                    <w:jc w:val="center"/>
                    <w:rPr>
                      <w:color w:val="0000FF"/>
                      <w:szCs w:val="21"/>
                    </w:rPr>
                  </w:pPr>
                  <w:r>
                    <w:rPr>
                      <w:rFonts w:hint="eastAsia"/>
                      <w:color w:val="0000FF"/>
                      <w:szCs w:val="21"/>
                    </w:rPr>
                    <w:t>W</w:t>
                  </w:r>
                  <w:r>
                    <w:rPr>
                      <w:color w:val="0000FF"/>
                      <w:szCs w:val="21"/>
                    </w:rPr>
                    <w:t>2</w:t>
                  </w:r>
                </w:p>
              </w:tc>
              <w:tc>
                <w:tcPr>
                  <w:tcW w:w="2178" w:type="pct"/>
                  <w:vAlign w:val="center"/>
                </w:tcPr>
                <w:p>
                  <w:pPr>
                    <w:jc w:val="center"/>
                    <w:rPr>
                      <w:color w:val="0000FF"/>
                      <w:szCs w:val="21"/>
                    </w:rPr>
                  </w:pPr>
                  <w:r>
                    <w:rPr>
                      <w:rFonts w:hint="eastAsia"/>
                      <w:color w:val="0000FF"/>
                      <w:szCs w:val="21"/>
                    </w:rPr>
                    <w:t>生活污水（COD、BOD</w:t>
                  </w:r>
                  <w:r>
                    <w:rPr>
                      <w:color w:val="0000FF"/>
                      <w:szCs w:val="21"/>
                      <w:vertAlign w:val="subscript"/>
                    </w:rPr>
                    <w:t>5</w:t>
                  </w:r>
                  <w:r>
                    <w:rPr>
                      <w:rFonts w:hint="eastAsia"/>
                      <w:color w:val="0000FF"/>
                      <w:szCs w:val="21"/>
                    </w:rPr>
                    <w:t>、SS、石油类）</w:t>
                  </w:r>
                </w:p>
              </w:tc>
              <w:tc>
                <w:tcPr>
                  <w:tcW w:w="944" w:type="pct"/>
                  <w:vMerge w:val="continue"/>
                  <w:vAlign w:val="center"/>
                </w:tcPr>
                <w:p>
                  <w:pPr>
                    <w:jc w:val="center"/>
                    <w:rPr>
                      <w:color w:val="0000FF"/>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vMerge w:val="restart"/>
                  <w:vAlign w:val="center"/>
                </w:tcPr>
                <w:p>
                  <w:pPr>
                    <w:jc w:val="center"/>
                    <w:rPr>
                      <w:color w:val="0000FF"/>
                      <w:szCs w:val="21"/>
                    </w:rPr>
                  </w:pPr>
                  <w:r>
                    <w:rPr>
                      <w:rFonts w:hint="eastAsia"/>
                      <w:color w:val="0000FF"/>
                      <w:szCs w:val="21"/>
                    </w:rPr>
                    <w:t>噪声</w:t>
                  </w:r>
                </w:p>
              </w:tc>
              <w:tc>
                <w:tcPr>
                  <w:tcW w:w="734" w:type="pct"/>
                  <w:vAlign w:val="center"/>
                </w:tcPr>
                <w:p>
                  <w:pPr>
                    <w:jc w:val="center"/>
                    <w:rPr>
                      <w:color w:val="0000FF"/>
                      <w:szCs w:val="21"/>
                    </w:rPr>
                  </w:pPr>
                  <w:r>
                    <w:rPr>
                      <w:rFonts w:hint="eastAsia"/>
                      <w:color w:val="0000FF"/>
                      <w:szCs w:val="21"/>
                    </w:rPr>
                    <w:t>原料运输</w:t>
                  </w:r>
                </w:p>
              </w:tc>
              <w:tc>
                <w:tcPr>
                  <w:tcW w:w="741" w:type="pct"/>
                  <w:vAlign w:val="center"/>
                </w:tcPr>
                <w:p>
                  <w:pPr>
                    <w:jc w:val="center"/>
                    <w:rPr>
                      <w:color w:val="0000FF"/>
                      <w:szCs w:val="21"/>
                    </w:rPr>
                  </w:pPr>
                  <w:r>
                    <w:rPr>
                      <w:rFonts w:hint="eastAsia"/>
                      <w:color w:val="0000FF"/>
                      <w:szCs w:val="21"/>
                    </w:rPr>
                    <w:t>N</w:t>
                  </w:r>
                  <w:r>
                    <w:rPr>
                      <w:color w:val="0000FF"/>
                      <w:szCs w:val="21"/>
                    </w:rPr>
                    <w:t>1</w:t>
                  </w:r>
                </w:p>
              </w:tc>
              <w:tc>
                <w:tcPr>
                  <w:tcW w:w="2178" w:type="pct"/>
                  <w:vAlign w:val="center"/>
                </w:tcPr>
                <w:p>
                  <w:pPr>
                    <w:jc w:val="center"/>
                    <w:rPr>
                      <w:color w:val="0000FF"/>
                      <w:szCs w:val="21"/>
                    </w:rPr>
                  </w:pPr>
                  <w:r>
                    <w:rPr>
                      <w:rFonts w:hint="eastAsia"/>
                      <w:color w:val="0000FF"/>
                      <w:szCs w:val="21"/>
                    </w:rPr>
                    <w:t>机械设备噪声（Leq（A</w:t>
                  </w:r>
                  <w:r>
                    <w:rPr>
                      <w:color w:val="0000FF"/>
                      <w:szCs w:val="21"/>
                    </w:rPr>
                    <w:t xml:space="preserve"> </w:t>
                  </w:r>
                  <w:r>
                    <w:rPr>
                      <w:rFonts w:hint="eastAsia"/>
                      <w:color w:val="0000FF"/>
                      <w:szCs w:val="21"/>
                    </w:rPr>
                    <w:t>））</w:t>
                  </w:r>
                </w:p>
              </w:tc>
              <w:tc>
                <w:tcPr>
                  <w:tcW w:w="944" w:type="pct"/>
                  <w:vAlign w:val="center"/>
                </w:tcPr>
                <w:p>
                  <w:pPr>
                    <w:jc w:val="center"/>
                    <w:rPr>
                      <w:color w:val="0000FF"/>
                      <w:szCs w:val="21"/>
                    </w:rPr>
                  </w:pPr>
                  <w:r>
                    <w:rPr>
                      <w:rFonts w:hint="eastAsia"/>
                      <w:color w:val="0000FF"/>
                      <w:szCs w:val="21"/>
                    </w:rPr>
                    <w:t>自由发散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vMerge w:val="continue"/>
                  <w:vAlign w:val="center"/>
                </w:tcPr>
                <w:p>
                  <w:pPr>
                    <w:jc w:val="center"/>
                    <w:rPr>
                      <w:color w:val="0000FF"/>
                      <w:szCs w:val="21"/>
                    </w:rPr>
                  </w:pPr>
                </w:p>
              </w:tc>
              <w:tc>
                <w:tcPr>
                  <w:tcW w:w="734" w:type="pct"/>
                  <w:vAlign w:val="center"/>
                </w:tcPr>
                <w:p>
                  <w:pPr>
                    <w:jc w:val="center"/>
                    <w:rPr>
                      <w:color w:val="0000FF"/>
                      <w:szCs w:val="21"/>
                    </w:rPr>
                  </w:pPr>
                  <w:r>
                    <w:rPr>
                      <w:rFonts w:hint="eastAsia"/>
                      <w:color w:val="0000FF"/>
                      <w:szCs w:val="21"/>
                    </w:rPr>
                    <w:t>颚式破碎机</w:t>
                  </w:r>
                </w:p>
              </w:tc>
              <w:tc>
                <w:tcPr>
                  <w:tcW w:w="741" w:type="pct"/>
                  <w:vAlign w:val="center"/>
                </w:tcPr>
                <w:p>
                  <w:pPr>
                    <w:jc w:val="center"/>
                    <w:rPr>
                      <w:color w:val="0000FF"/>
                      <w:szCs w:val="21"/>
                    </w:rPr>
                  </w:pPr>
                  <w:r>
                    <w:rPr>
                      <w:rFonts w:hint="eastAsia"/>
                      <w:color w:val="0000FF"/>
                      <w:szCs w:val="21"/>
                    </w:rPr>
                    <w:t>N</w:t>
                  </w:r>
                  <w:r>
                    <w:rPr>
                      <w:color w:val="0000FF"/>
                      <w:szCs w:val="21"/>
                    </w:rPr>
                    <w:t>1</w:t>
                  </w:r>
                </w:p>
              </w:tc>
              <w:tc>
                <w:tcPr>
                  <w:tcW w:w="2178" w:type="pct"/>
                  <w:vAlign w:val="center"/>
                </w:tcPr>
                <w:p>
                  <w:pPr>
                    <w:jc w:val="center"/>
                    <w:rPr>
                      <w:color w:val="0000FF"/>
                      <w:szCs w:val="21"/>
                    </w:rPr>
                  </w:pPr>
                  <w:r>
                    <w:rPr>
                      <w:rFonts w:hint="eastAsia"/>
                      <w:color w:val="0000FF"/>
                      <w:szCs w:val="21"/>
                    </w:rPr>
                    <w:t>机械设备噪声（Leq（A</w:t>
                  </w:r>
                  <w:r>
                    <w:rPr>
                      <w:color w:val="0000FF"/>
                      <w:szCs w:val="21"/>
                    </w:rPr>
                    <w:t xml:space="preserve"> </w:t>
                  </w:r>
                  <w:r>
                    <w:rPr>
                      <w:rFonts w:hint="eastAsia"/>
                      <w:color w:val="0000FF"/>
                      <w:szCs w:val="21"/>
                    </w:rPr>
                    <w:t>））</w:t>
                  </w:r>
                </w:p>
              </w:tc>
              <w:tc>
                <w:tcPr>
                  <w:tcW w:w="944" w:type="pct"/>
                  <w:vAlign w:val="center"/>
                </w:tcPr>
                <w:p>
                  <w:pPr>
                    <w:jc w:val="center"/>
                    <w:rPr>
                      <w:color w:val="0000FF"/>
                      <w:szCs w:val="21"/>
                    </w:rPr>
                  </w:pPr>
                  <w:r>
                    <w:rPr>
                      <w:rFonts w:hint="eastAsia"/>
                      <w:color w:val="0000FF"/>
                      <w:szCs w:val="21"/>
                    </w:rPr>
                    <w:t>自由发散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vMerge w:val="continue"/>
                  <w:vAlign w:val="center"/>
                </w:tcPr>
                <w:p>
                  <w:pPr>
                    <w:jc w:val="center"/>
                    <w:rPr>
                      <w:color w:val="0000FF"/>
                      <w:szCs w:val="21"/>
                    </w:rPr>
                  </w:pPr>
                </w:p>
              </w:tc>
              <w:tc>
                <w:tcPr>
                  <w:tcW w:w="734" w:type="pct"/>
                  <w:vAlign w:val="center"/>
                </w:tcPr>
                <w:p>
                  <w:pPr>
                    <w:jc w:val="center"/>
                    <w:rPr>
                      <w:color w:val="0000FF"/>
                      <w:szCs w:val="21"/>
                    </w:rPr>
                  </w:pPr>
                  <w:r>
                    <w:rPr>
                      <w:rFonts w:hint="eastAsia"/>
                      <w:color w:val="0000FF"/>
                      <w:szCs w:val="21"/>
                    </w:rPr>
                    <w:t>圆锥破碎机</w:t>
                  </w:r>
                </w:p>
              </w:tc>
              <w:tc>
                <w:tcPr>
                  <w:tcW w:w="741" w:type="pct"/>
                  <w:vAlign w:val="center"/>
                </w:tcPr>
                <w:p>
                  <w:pPr>
                    <w:jc w:val="center"/>
                    <w:rPr>
                      <w:color w:val="0000FF"/>
                      <w:szCs w:val="21"/>
                    </w:rPr>
                  </w:pPr>
                  <w:r>
                    <w:rPr>
                      <w:rFonts w:hint="eastAsia"/>
                      <w:color w:val="0000FF"/>
                      <w:szCs w:val="21"/>
                    </w:rPr>
                    <w:t>N</w:t>
                  </w:r>
                  <w:r>
                    <w:rPr>
                      <w:color w:val="0000FF"/>
                      <w:szCs w:val="21"/>
                    </w:rPr>
                    <w:t>1</w:t>
                  </w:r>
                </w:p>
              </w:tc>
              <w:tc>
                <w:tcPr>
                  <w:tcW w:w="2178" w:type="pct"/>
                  <w:vAlign w:val="center"/>
                </w:tcPr>
                <w:p>
                  <w:pPr>
                    <w:jc w:val="center"/>
                    <w:rPr>
                      <w:color w:val="0000FF"/>
                      <w:szCs w:val="21"/>
                    </w:rPr>
                  </w:pPr>
                  <w:r>
                    <w:rPr>
                      <w:rFonts w:hint="eastAsia"/>
                      <w:color w:val="0000FF"/>
                      <w:szCs w:val="21"/>
                    </w:rPr>
                    <w:t>机械设备噪声（Leq（A</w:t>
                  </w:r>
                  <w:r>
                    <w:rPr>
                      <w:color w:val="0000FF"/>
                      <w:szCs w:val="21"/>
                    </w:rPr>
                    <w:t xml:space="preserve"> </w:t>
                  </w:r>
                  <w:r>
                    <w:rPr>
                      <w:rFonts w:hint="eastAsia"/>
                      <w:color w:val="0000FF"/>
                      <w:szCs w:val="21"/>
                    </w:rPr>
                    <w:t>））</w:t>
                  </w:r>
                </w:p>
              </w:tc>
              <w:tc>
                <w:tcPr>
                  <w:tcW w:w="944" w:type="pct"/>
                  <w:vAlign w:val="center"/>
                </w:tcPr>
                <w:p>
                  <w:pPr>
                    <w:jc w:val="center"/>
                    <w:rPr>
                      <w:color w:val="0000FF"/>
                      <w:szCs w:val="21"/>
                    </w:rPr>
                  </w:pPr>
                  <w:r>
                    <w:rPr>
                      <w:rFonts w:hint="eastAsia"/>
                      <w:color w:val="0000FF"/>
                      <w:szCs w:val="21"/>
                    </w:rPr>
                    <w:t>自由发散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02" w:type="pct"/>
                  <w:vMerge w:val="continue"/>
                  <w:vAlign w:val="center"/>
                </w:tcPr>
                <w:p>
                  <w:pPr>
                    <w:jc w:val="center"/>
                    <w:rPr>
                      <w:color w:val="0000FF"/>
                      <w:szCs w:val="21"/>
                    </w:rPr>
                  </w:pPr>
                </w:p>
              </w:tc>
              <w:tc>
                <w:tcPr>
                  <w:tcW w:w="734" w:type="pct"/>
                  <w:vAlign w:val="center"/>
                </w:tcPr>
                <w:p>
                  <w:pPr>
                    <w:jc w:val="center"/>
                    <w:rPr>
                      <w:color w:val="0000FF"/>
                      <w:szCs w:val="21"/>
                    </w:rPr>
                  </w:pPr>
                  <w:r>
                    <w:rPr>
                      <w:rFonts w:hint="eastAsia"/>
                      <w:color w:val="0000FF"/>
                      <w:szCs w:val="21"/>
                    </w:rPr>
                    <w:t>振动筛1</w:t>
                  </w:r>
                </w:p>
              </w:tc>
              <w:tc>
                <w:tcPr>
                  <w:tcW w:w="741" w:type="pct"/>
                  <w:vAlign w:val="center"/>
                </w:tcPr>
                <w:p>
                  <w:pPr>
                    <w:jc w:val="center"/>
                    <w:rPr>
                      <w:color w:val="0000FF"/>
                      <w:szCs w:val="21"/>
                    </w:rPr>
                  </w:pPr>
                  <w:r>
                    <w:rPr>
                      <w:rFonts w:hint="eastAsia"/>
                      <w:color w:val="0000FF"/>
                      <w:szCs w:val="21"/>
                    </w:rPr>
                    <w:t>N</w:t>
                  </w:r>
                  <w:r>
                    <w:rPr>
                      <w:color w:val="0000FF"/>
                      <w:szCs w:val="21"/>
                    </w:rPr>
                    <w:t>1</w:t>
                  </w:r>
                </w:p>
              </w:tc>
              <w:tc>
                <w:tcPr>
                  <w:tcW w:w="2178" w:type="pct"/>
                  <w:vAlign w:val="center"/>
                </w:tcPr>
                <w:p>
                  <w:pPr>
                    <w:jc w:val="center"/>
                    <w:rPr>
                      <w:color w:val="0000FF"/>
                      <w:szCs w:val="21"/>
                    </w:rPr>
                  </w:pPr>
                  <w:r>
                    <w:rPr>
                      <w:rFonts w:hint="eastAsia"/>
                      <w:color w:val="0000FF"/>
                      <w:szCs w:val="21"/>
                    </w:rPr>
                    <w:t>机械设备噪声（Leq（A</w:t>
                  </w:r>
                  <w:r>
                    <w:rPr>
                      <w:color w:val="0000FF"/>
                      <w:szCs w:val="21"/>
                    </w:rPr>
                    <w:t xml:space="preserve"> </w:t>
                  </w:r>
                  <w:r>
                    <w:rPr>
                      <w:rFonts w:hint="eastAsia"/>
                      <w:color w:val="0000FF"/>
                      <w:szCs w:val="21"/>
                    </w:rPr>
                    <w:t>））</w:t>
                  </w:r>
                </w:p>
              </w:tc>
              <w:tc>
                <w:tcPr>
                  <w:tcW w:w="944" w:type="pct"/>
                  <w:vAlign w:val="center"/>
                </w:tcPr>
                <w:p>
                  <w:pPr>
                    <w:jc w:val="center"/>
                    <w:rPr>
                      <w:color w:val="0000FF"/>
                      <w:szCs w:val="21"/>
                    </w:rPr>
                  </w:pPr>
                  <w:r>
                    <w:rPr>
                      <w:rFonts w:hint="eastAsia"/>
                      <w:color w:val="0000FF"/>
                      <w:szCs w:val="21"/>
                    </w:rPr>
                    <w:t>自由发散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vMerge w:val="continue"/>
                  <w:vAlign w:val="center"/>
                </w:tcPr>
                <w:p>
                  <w:pPr>
                    <w:jc w:val="center"/>
                    <w:rPr>
                      <w:color w:val="0000FF"/>
                      <w:szCs w:val="21"/>
                    </w:rPr>
                  </w:pPr>
                </w:p>
              </w:tc>
              <w:tc>
                <w:tcPr>
                  <w:tcW w:w="734" w:type="pct"/>
                  <w:vAlign w:val="center"/>
                </w:tcPr>
                <w:p>
                  <w:pPr>
                    <w:jc w:val="center"/>
                    <w:rPr>
                      <w:color w:val="0000FF"/>
                      <w:szCs w:val="21"/>
                    </w:rPr>
                  </w:pPr>
                  <w:r>
                    <w:rPr>
                      <w:rFonts w:hint="eastAsia"/>
                      <w:color w:val="0000FF"/>
                      <w:szCs w:val="21"/>
                    </w:rPr>
                    <w:t>输送带1</w:t>
                  </w:r>
                </w:p>
              </w:tc>
              <w:tc>
                <w:tcPr>
                  <w:tcW w:w="741" w:type="pct"/>
                  <w:vAlign w:val="center"/>
                </w:tcPr>
                <w:p>
                  <w:pPr>
                    <w:jc w:val="center"/>
                    <w:rPr>
                      <w:color w:val="0000FF"/>
                      <w:szCs w:val="21"/>
                    </w:rPr>
                  </w:pPr>
                  <w:r>
                    <w:rPr>
                      <w:rFonts w:hint="eastAsia"/>
                      <w:color w:val="0000FF"/>
                      <w:szCs w:val="21"/>
                    </w:rPr>
                    <w:t>N</w:t>
                  </w:r>
                  <w:r>
                    <w:rPr>
                      <w:color w:val="0000FF"/>
                      <w:szCs w:val="21"/>
                    </w:rPr>
                    <w:t>1</w:t>
                  </w:r>
                </w:p>
              </w:tc>
              <w:tc>
                <w:tcPr>
                  <w:tcW w:w="2178" w:type="pct"/>
                  <w:vAlign w:val="center"/>
                </w:tcPr>
                <w:p>
                  <w:pPr>
                    <w:jc w:val="center"/>
                    <w:rPr>
                      <w:color w:val="0000FF"/>
                      <w:szCs w:val="21"/>
                    </w:rPr>
                  </w:pPr>
                  <w:r>
                    <w:rPr>
                      <w:rFonts w:hint="eastAsia"/>
                      <w:color w:val="0000FF"/>
                      <w:szCs w:val="21"/>
                    </w:rPr>
                    <w:t>机械设备噪声（Leq（A</w:t>
                  </w:r>
                  <w:r>
                    <w:rPr>
                      <w:color w:val="0000FF"/>
                      <w:szCs w:val="21"/>
                    </w:rPr>
                    <w:t xml:space="preserve"> </w:t>
                  </w:r>
                  <w:r>
                    <w:rPr>
                      <w:rFonts w:hint="eastAsia"/>
                      <w:color w:val="0000FF"/>
                      <w:szCs w:val="21"/>
                    </w:rPr>
                    <w:t>））</w:t>
                  </w:r>
                </w:p>
              </w:tc>
              <w:tc>
                <w:tcPr>
                  <w:tcW w:w="944" w:type="pct"/>
                  <w:vAlign w:val="center"/>
                </w:tcPr>
                <w:p>
                  <w:pPr>
                    <w:jc w:val="center"/>
                    <w:rPr>
                      <w:color w:val="0000FF"/>
                      <w:szCs w:val="21"/>
                    </w:rPr>
                  </w:pPr>
                  <w:r>
                    <w:rPr>
                      <w:rFonts w:hint="eastAsia"/>
                      <w:color w:val="0000FF"/>
                      <w:szCs w:val="21"/>
                    </w:rPr>
                    <w:t>自由发散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vMerge w:val="continue"/>
                  <w:vAlign w:val="center"/>
                </w:tcPr>
                <w:p>
                  <w:pPr>
                    <w:jc w:val="center"/>
                    <w:rPr>
                      <w:color w:val="0000FF"/>
                      <w:szCs w:val="21"/>
                    </w:rPr>
                  </w:pPr>
                </w:p>
              </w:tc>
              <w:tc>
                <w:tcPr>
                  <w:tcW w:w="734" w:type="pct"/>
                  <w:vAlign w:val="center"/>
                </w:tcPr>
                <w:p>
                  <w:pPr>
                    <w:jc w:val="center"/>
                    <w:rPr>
                      <w:color w:val="0000FF"/>
                      <w:szCs w:val="21"/>
                    </w:rPr>
                  </w:pPr>
                  <w:r>
                    <w:rPr>
                      <w:rFonts w:hint="eastAsia"/>
                      <w:color w:val="0000FF"/>
                      <w:szCs w:val="21"/>
                    </w:rPr>
                    <w:t>输送带2</w:t>
                  </w:r>
                </w:p>
              </w:tc>
              <w:tc>
                <w:tcPr>
                  <w:tcW w:w="741" w:type="pct"/>
                  <w:vAlign w:val="center"/>
                </w:tcPr>
                <w:p>
                  <w:pPr>
                    <w:jc w:val="center"/>
                    <w:rPr>
                      <w:color w:val="0000FF"/>
                      <w:szCs w:val="21"/>
                    </w:rPr>
                  </w:pPr>
                  <w:r>
                    <w:rPr>
                      <w:rFonts w:hint="eastAsia"/>
                      <w:color w:val="0000FF"/>
                      <w:szCs w:val="21"/>
                    </w:rPr>
                    <w:t>N</w:t>
                  </w:r>
                  <w:r>
                    <w:rPr>
                      <w:color w:val="0000FF"/>
                      <w:szCs w:val="21"/>
                    </w:rPr>
                    <w:t>1</w:t>
                  </w:r>
                </w:p>
              </w:tc>
              <w:tc>
                <w:tcPr>
                  <w:tcW w:w="2178" w:type="pct"/>
                  <w:vAlign w:val="center"/>
                </w:tcPr>
                <w:p>
                  <w:pPr>
                    <w:jc w:val="center"/>
                    <w:rPr>
                      <w:color w:val="0000FF"/>
                      <w:szCs w:val="21"/>
                    </w:rPr>
                  </w:pPr>
                  <w:r>
                    <w:rPr>
                      <w:rFonts w:hint="eastAsia"/>
                      <w:color w:val="0000FF"/>
                      <w:szCs w:val="21"/>
                    </w:rPr>
                    <w:t>机械设备噪声（Leq（A</w:t>
                  </w:r>
                  <w:r>
                    <w:rPr>
                      <w:color w:val="0000FF"/>
                      <w:szCs w:val="21"/>
                    </w:rPr>
                    <w:t xml:space="preserve"> </w:t>
                  </w:r>
                  <w:r>
                    <w:rPr>
                      <w:rFonts w:hint="eastAsia"/>
                      <w:color w:val="0000FF"/>
                      <w:szCs w:val="21"/>
                    </w:rPr>
                    <w:t>））</w:t>
                  </w:r>
                </w:p>
              </w:tc>
              <w:tc>
                <w:tcPr>
                  <w:tcW w:w="944" w:type="pct"/>
                  <w:vAlign w:val="center"/>
                </w:tcPr>
                <w:p>
                  <w:pPr>
                    <w:jc w:val="center"/>
                    <w:rPr>
                      <w:color w:val="0000FF"/>
                      <w:szCs w:val="21"/>
                    </w:rPr>
                  </w:pPr>
                  <w:r>
                    <w:rPr>
                      <w:rFonts w:hint="eastAsia"/>
                      <w:color w:val="0000FF"/>
                      <w:szCs w:val="21"/>
                    </w:rPr>
                    <w:t>自由发散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vMerge w:val="continue"/>
                  <w:vAlign w:val="center"/>
                </w:tcPr>
                <w:p>
                  <w:pPr>
                    <w:jc w:val="center"/>
                    <w:rPr>
                      <w:color w:val="0000FF"/>
                      <w:szCs w:val="21"/>
                    </w:rPr>
                  </w:pPr>
                </w:p>
              </w:tc>
              <w:tc>
                <w:tcPr>
                  <w:tcW w:w="734" w:type="pct"/>
                  <w:vAlign w:val="center"/>
                </w:tcPr>
                <w:p>
                  <w:pPr>
                    <w:jc w:val="center"/>
                    <w:rPr>
                      <w:color w:val="0000FF"/>
                      <w:szCs w:val="21"/>
                    </w:rPr>
                  </w:pPr>
                  <w:r>
                    <w:rPr>
                      <w:rFonts w:hint="eastAsia"/>
                      <w:color w:val="0000FF"/>
                      <w:szCs w:val="21"/>
                    </w:rPr>
                    <w:t>高效制砂机</w:t>
                  </w:r>
                </w:p>
              </w:tc>
              <w:tc>
                <w:tcPr>
                  <w:tcW w:w="741" w:type="pct"/>
                  <w:vAlign w:val="center"/>
                </w:tcPr>
                <w:p>
                  <w:pPr>
                    <w:jc w:val="center"/>
                    <w:rPr>
                      <w:color w:val="0000FF"/>
                      <w:szCs w:val="21"/>
                    </w:rPr>
                  </w:pPr>
                  <w:r>
                    <w:rPr>
                      <w:rFonts w:hint="eastAsia"/>
                      <w:color w:val="0000FF"/>
                      <w:szCs w:val="21"/>
                    </w:rPr>
                    <w:t>N</w:t>
                  </w:r>
                  <w:r>
                    <w:rPr>
                      <w:color w:val="0000FF"/>
                      <w:szCs w:val="21"/>
                    </w:rPr>
                    <w:t>1</w:t>
                  </w:r>
                </w:p>
              </w:tc>
              <w:tc>
                <w:tcPr>
                  <w:tcW w:w="2178" w:type="pct"/>
                  <w:vAlign w:val="center"/>
                </w:tcPr>
                <w:p>
                  <w:pPr>
                    <w:jc w:val="center"/>
                    <w:rPr>
                      <w:color w:val="0000FF"/>
                      <w:szCs w:val="21"/>
                    </w:rPr>
                  </w:pPr>
                  <w:r>
                    <w:rPr>
                      <w:rFonts w:hint="eastAsia"/>
                      <w:color w:val="0000FF"/>
                      <w:szCs w:val="21"/>
                    </w:rPr>
                    <w:t>机械设备噪声（Leq（A</w:t>
                  </w:r>
                  <w:r>
                    <w:rPr>
                      <w:color w:val="0000FF"/>
                      <w:szCs w:val="21"/>
                    </w:rPr>
                    <w:t xml:space="preserve"> </w:t>
                  </w:r>
                  <w:r>
                    <w:rPr>
                      <w:rFonts w:hint="eastAsia"/>
                      <w:color w:val="0000FF"/>
                      <w:szCs w:val="21"/>
                    </w:rPr>
                    <w:t>））</w:t>
                  </w:r>
                </w:p>
              </w:tc>
              <w:tc>
                <w:tcPr>
                  <w:tcW w:w="944" w:type="pct"/>
                  <w:vAlign w:val="center"/>
                </w:tcPr>
                <w:p>
                  <w:pPr>
                    <w:jc w:val="center"/>
                    <w:rPr>
                      <w:color w:val="0000FF"/>
                      <w:szCs w:val="21"/>
                    </w:rPr>
                  </w:pPr>
                  <w:r>
                    <w:rPr>
                      <w:rFonts w:hint="eastAsia"/>
                      <w:color w:val="0000FF"/>
                      <w:szCs w:val="21"/>
                    </w:rPr>
                    <w:t>自由发散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02" w:type="pct"/>
                  <w:vMerge w:val="continue"/>
                  <w:vAlign w:val="center"/>
                </w:tcPr>
                <w:p>
                  <w:pPr>
                    <w:jc w:val="center"/>
                    <w:rPr>
                      <w:color w:val="0000FF"/>
                      <w:szCs w:val="21"/>
                    </w:rPr>
                  </w:pPr>
                </w:p>
              </w:tc>
              <w:tc>
                <w:tcPr>
                  <w:tcW w:w="734" w:type="pct"/>
                  <w:vAlign w:val="center"/>
                </w:tcPr>
                <w:p>
                  <w:pPr>
                    <w:jc w:val="center"/>
                    <w:rPr>
                      <w:color w:val="0000FF"/>
                      <w:szCs w:val="21"/>
                    </w:rPr>
                  </w:pPr>
                  <w:r>
                    <w:rPr>
                      <w:rFonts w:hint="eastAsia"/>
                      <w:color w:val="0000FF"/>
                      <w:szCs w:val="21"/>
                    </w:rPr>
                    <w:t>输送带3</w:t>
                  </w:r>
                </w:p>
              </w:tc>
              <w:tc>
                <w:tcPr>
                  <w:tcW w:w="741" w:type="pct"/>
                  <w:vAlign w:val="center"/>
                </w:tcPr>
                <w:p>
                  <w:pPr>
                    <w:jc w:val="center"/>
                    <w:rPr>
                      <w:color w:val="0000FF"/>
                      <w:szCs w:val="21"/>
                    </w:rPr>
                  </w:pPr>
                  <w:r>
                    <w:rPr>
                      <w:rFonts w:hint="eastAsia"/>
                      <w:color w:val="0000FF"/>
                      <w:szCs w:val="21"/>
                    </w:rPr>
                    <w:t>N</w:t>
                  </w:r>
                  <w:r>
                    <w:rPr>
                      <w:color w:val="0000FF"/>
                      <w:szCs w:val="21"/>
                    </w:rPr>
                    <w:t>1</w:t>
                  </w:r>
                </w:p>
              </w:tc>
              <w:tc>
                <w:tcPr>
                  <w:tcW w:w="2178" w:type="pct"/>
                  <w:vAlign w:val="center"/>
                </w:tcPr>
                <w:p>
                  <w:pPr>
                    <w:jc w:val="center"/>
                    <w:rPr>
                      <w:color w:val="0000FF"/>
                      <w:szCs w:val="21"/>
                    </w:rPr>
                  </w:pPr>
                  <w:r>
                    <w:rPr>
                      <w:rFonts w:hint="eastAsia"/>
                      <w:color w:val="0000FF"/>
                      <w:szCs w:val="21"/>
                    </w:rPr>
                    <w:t>机械设备噪声（Leq（A</w:t>
                  </w:r>
                  <w:r>
                    <w:rPr>
                      <w:color w:val="0000FF"/>
                      <w:szCs w:val="21"/>
                    </w:rPr>
                    <w:t xml:space="preserve"> </w:t>
                  </w:r>
                  <w:r>
                    <w:rPr>
                      <w:rFonts w:hint="eastAsia"/>
                      <w:color w:val="0000FF"/>
                      <w:szCs w:val="21"/>
                    </w:rPr>
                    <w:t>））</w:t>
                  </w:r>
                </w:p>
              </w:tc>
              <w:tc>
                <w:tcPr>
                  <w:tcW w:w="944" w:type="pct"/>
                  <w:vAlign w:val="center"/>
                </w:tcPr>
                <w:p>
                  <w:pPr>
                    <w:jc w:val="center"/>
                    <w:rPr>
                      <w:color w:val="0000FF"/>
                      <w:szCs w:val="21"/>
                    </w:rPr>
                  </w:pPr>
                  <w:r>
                    <w:rPr>
                      <w:rFonts w:hint="eastAsia"/>
                      <w:color w:val="0000FF"/>
                      <w:szCs w:val="21"/>
                    </w:rPr>
                    <w:t>自由发散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vMerge w:val="continue"/>
                  <w:vAlign w:val="center"/>
                </w:tcPr>
                <w:p>
                  <w:pPr>
                    <w:jc w:val="center"/>
                    <w:rPr>
                      <w:color w:val="0000FF"/>
                      <w:szCs w:val="21"/>
                    </w:rPr>
                  </w:pPr>
                </w:p>
              </w:tc>
              <w:tc>
                <w:tcPr>
                  <w:tcW w:w="734" w:type="pct"/>
                  <w:vAlign w:val="center"/>
                </w:tcPr>
                <w:p>
                  <w:pPr>
                    <w:jc w:val="center"/>
                    <w:rPr>
                      <w:color w:val="0000FF"/>
                      <w:szCs w:val="21"/>
                    </w:rPr>
                  </w:pPr>
                  <w:r>
                    <w:rPr>
                      <w:rFonts w:hint="eastAsia"/>
                      <w:color w:val="0000FF"/>
                      <w:szCs w:val="21"/>
                    </w:rPr>
                    <w:t>振动筛2</w:t>
                  </w:r>
                </w:p>
              </w:tc>
              <w:tc>
                <w:tcPr>
                  <w:tcW w:w="741" w:type="pct"/>
                  <w:vAlign w:val="center"/>
                </w:tcPr>
                <w:p>
                  <w:pPr>
                    <w:jc w:val="center"/>
                    <w:rPr>
                      <w:color w:val="0000FF"/>
                      <w:szCs w:val="21"/>
                    </w:rPr>
                  </w:pPr>
                  <w:r>
                    <w:rPr>
                      <w:rFonts w:hint="eastAsia"/>
                      <w:color w:val="0000FF"/>
                      <w:szCs w:val="21"/>
                    </w:rPr>
                    <w:t>N</w:t>
                  </w:r>
                  <w:r>
                    <w:rPr>
                      <w:color w:val="0000FF"/>
                      <w:szCs w:val="21"/>
                    </w:rPr>
                    <w:t>1</w:t>
                  </w:r>
                </w:p>
              </w:tc>
              <w:tc>
                <w:tcPr>
                  <w:tcW w:w="2178" w:type="pct"/>
                  <w:vAlign w:val="center"/>
                </w:tcPr>
                <w:p>
                  <w:pPr>
                    <w:jc w:val="center"/>
                    <w:rPr>
                      <w:color w:val="0000FF"/>
                      <w:szCs w:val="21"/>
                    </w:rPr>
                  </w:pPr>
                  <w:r>
                    <w:rPr>
                      <w:rFonts w:hint="eastAsia"/>
                      <w:color w:val="0000FF"/>
                      <w:szCs w:val="21"/>
                    </w:rPr>
                    <w:t>机械设备噪声（Leq（A</w:t>
                  </w:r>
                  <w:r>
                    <w:rPr>
                      <w:color w:val="0000FF"/>
                      <w:szCs w:val="21"/>
                    </w:rPr>
                    <w:t xml:space="preserve"> </w:t>
                  </w:r>
                  <w:r>
                    <w:rPr>
                      <w:rFonts w:hint="eastAsia"/>
                      <w:color w:val="0000FF"/>
                      <w:szCs w:val="21"/>
                    </w:rPr>
                    <w:t>））</w:t>
                  </w:r>
                </w:p>
              </w:tc>
              <w:tc>
                <w:tcPr>
                  <w:tcW w:w="944" w:type="pct"/>
                  <w:vAlign w:val="center"/>
                </w:tcPr>
                <w:p>
                  <w:pPr>
                    <w:jc w:val="center"/>
                    <w:rPr>
                      <w:color w:val="0000FF"/>
                      <w:szCs w:val="21"/>
                    </w:rPr>
                  </w:pPr>
                  <w:r>
                    <w:rPr>
                      <w:rFonts w:hint="eastAsia"/>
                      <w:color w:val="0000FF"/>
                      <w:szCs w:val="21"/>
                    </w:rPr>
                    <w:t>自由发散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vMerge w:val="continue"/>
                  <w:vAlign w:val="center"/>
                </w:tcPr>
                <w:p>
                  <w:pPr>
                    <w:jc w:val="center"/>
                    <w:rPr>
                      <w:color w:val="0000FF"/>
                      <w:szCs w:val="21"/>
                    </w:rPr>
                  </w:pPr>
                </w:p>
              </w:tc>
              <w:tc>
                <w:tcPr>
                  <w:tcW w:w="734" w:type="pct"/>
                  <w:vAlign w:val="center"/>
                </w:tcPr>
                <w:p>
                  <w:pPr>
                    <w:jc w:val="center"/>
                    <w:rPr>
                      <w:color w:val="0000FF"/>
                      <w:szCs w:val="21"/>
                    </w:rPr>
                  </w:pPr>
                  <w:r>
                    <w:rPr>
                      <w:rFonts w:hint="eastAsia"/>
                      <w:color w:val="0000FF"/>
                      <w:szCs w:val="21"/>
                    </w:rPr>
                    <w:t>输送带4</w:t>
                  </w:r>
                </w:p>
              </w:tc>
              <w:tc>
                <w:tcPr>
                  <w:tcW w:w="741" w:type="pct"/>
                  <w:vAlign w:val="center"/>
                </w:tcPr>
                <w:p>
                  <w:pPr>
                    <w:jc w:val="center"/>
                    <w:rPr>
                      <w:color w:val="0000FF"/>
                      <w:szCs w:val="21"/>
                    </w:rPr>
                  </w:pPr>
                  <w:r>
                    <w:rPr>
                      <w:rFonts w:hint="eastAsia"/>
                      <w:color w:val="0000FF"/>
                      <w:szCs w:val="21"/>
                    </w:rPr>
                    <w:t>N</w:t>
                  </w:r>
                  <w:r>
                    <w:rPr>
                      <w:color w:val="0000FF"/>
                      <w:szCs w:val="21"/>
                    </w:rPr>
                    <w:t>1</w:t>
                  </w:r>
                </w:p>
              </w:tc>
              <w:tc>
                <w:tcPr>
                  <w:tcW w:w="2178" w:type="pct"/>
                  <w:vAlign w:val="center"/>
                </w:tcPr>
                <w:p>
                  <w:pPr>
                    <w:jc w:val="center"/>
                    <w:rPr>
                      <w:color w:val="0000FF"/>
                      <w:szCs w:val="21"/>
                    </w:rPr>
                  </w:pPr>
                  <w:r>
                    <w:rPr>
                      <w:rFonts w:hint="eastAsia"/>
                      <w:color w:val="0000FF"/>
                      <w:szCs w:val="21"/>
                    </w:rPr>
                    <w:t>机械设备噪声（Leq（A</w:t>
                  </w:r>
                  <w:r>
                    <w:rPr>
                      <w:color w:val="0000FF"/>
                      <w:szCs w:val="21"/>
                    </w:rPr>
                    <w:t xml:space="preserve"> </w:t>
                  </w:r>
                  <w:r>
                    <w:rPr>
                      <w:rFonts w:hint="eastAsia"/>
                      <w:color w:val="0000FF"/>
                      <w:szCs w:val="21"/>
                    </w:rPr>
                    <w:t>））</w:t>
                  </w:r>
                </w:p>
              </w:tc>
              <w:tc>
                <w:tcPr>
                  <w:tcW w:w="944" w:type="pct"/>
                  <w:vAlign w:val="center"/>
                </w:tcPr>
                <w:p>
                  <w:pPr>
                    <w:jc w:val="center"/>
                    <w:rPr>
                      <w:color w:val="0000FF"/>
                      <w:szCs w:val="21"/>
                    </w:rPr>
                  </w:pPr>
                  <w:r>
                    <w:rPr>
                      <w:rFonts w:hint="eastAsia"/>
                      <w:color w:val="0000FF"/>
                      <w:szCs w:val="21"/>
                    </w:rPr>
                    <w:t>自由发散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vMerge w:val="continue"/>
                  <w:vAlign w:val="center"/>
                </w:tcPr>
                <w:p>
                  <w:pPr>
                    <w:jc w:val="center"/>
                    <w:rPr>
                      <w:color w:val="0000FF"/>
                      <w:szCs w:val="21"/>
                    </w:rPr>
                  </w:pPr>
                </w:p>
              </w:tc>
              <w:tc>
                <w:tcPr>
                  <w:tcW w:w="734" w:type="pct"/>
                  <w:vAlign w:val="center"/>
                </w:tcPr>
                <w:p>
                  <w:pPr>
                    <w:jc w:val="center"/>
                    <w:rPr>
                      <w:color w:val="0000FF"/>
                      <w:szCs w:val="21"/>
                    </w:rPr>
                  </w:pPr>
                  <w:r>
                    <w:rPr>
                      <w:rFonts w:hint="eastAsia"/>
                      <w:color w:val="0000FF"/>
                      <w:szCs w:val="21"/>
                    </w:rPr>
                    <w:t>高效制砂机</w:t>
                  </w:r>
                </w:p>
              </w:tc>
              <w:tc>
                <w:tcPr>
                  <w:tcW w:w="741" w:type="pct"/>
                  <w:vAlign w:val="center"/>
                </w:tcPr>
                <w:p>
                  <w:pPr>
                    <w:jc w:val="center"/>
                    <w:rPr>
                      <w:color w:val="0000FF"/>
                      <w:szCs w:val="21"/>
                    </w:rPr>
                  </w:pPr>
                  <w:r>
                    <w:rPr>
                      <w:rFonts w:hint="eastAsia"/>
                      <w:color w:val="0000FF"/>
                      <w:szCs w:val="21"/>
                    </w:rPr>
                    <w:t>N</w:t>
                  </w:r>
                  <w:r>
                    <w:rPr>
                      <w:color w:val="0000FF"/>
                      <w:szCs w:val="21"/>
                    </w:rPr>
                    <w:t>1</w:t>
                  </w:r>
                </w:p>
              </w:tc>
              <w:tc>
                <w:tcPr>
                  <w:tcW w:w="2178" w:type="pct"/>
                  <w:vAlign w:val="center"/>
                </w:tcPr>
                <w:p>
                  <w:pPr>
                    <w:jc w:val="center"/>
                    <w:rPr>
                      <w:color w:val="0000FF"/>
                      <w:szCs w:val="21"/>
                    </w:rPr>
                  </w:pPr>
                  <w:r>
                    <w:rPr>
                      <w:rFonts w:hint="eastAsia"/>
                      <w:color w:val="0000FF"/>
                      <w:szCs w:val="21"/>
                    </w:rPr>
                    <w:t>机械设备噪声（Leq（A</w:t>
                  </w:r>
                  <w:r>
                    <w:rPr>
                      <w:color w:val="0000FF"/>
                      <w:szCs w:val="21"/>
                    </w:rPr>
                    <w:t xml:space="preserve"> </w:t>
                  </w:r>
                  <w:r>
                    <w:rPr>
                      <w:rFonts w:hint="eastAsia"/>
                      <w:color w:val="0000FF"/>
                      <w:szCs w:val="21"/>
                    </w:rPr>
                    <w:t>））</w:t>
                  </w:r>
                </w:p>
              </w:tc>
              <w:tc>
                <w:tcPr>
                  <w:tcW w:w="944" w:type="pct"/>
                  <w:vAlign w:val="center"/>
                </w:tcPr>
                <w:p>
                  <w:pPr>
                    <w:jc w:val="center"/>
                    <w:rPr>
                      <w:color w:val="0000FF"/>
                      <w:szCs w:val="21"/>
                    </w:rPr>
                  </w:pPr>
                  <w:r>
                    <w:rPr>
                      <w:rFonts w:hint="eastAsia"/>
                      <w:color w:val="0000FF"/>
                      <w:szCs w:val="21"/>
                    </w:rPr>
                    <w:t>自由发散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02" w:type="pct"/>
                  <w:vMerge w:val="restart"/>
                  <w:vAlign w:val="center"/>
                </w:tcPr>
                <w:p>
                  <w:pPr>
                    <w:jc w:val="center"/>
                    <w:rPr>
                      <w:color w:val="0000FF"/>
                      <w:szCs w:val="21"/>
                    </w:rPr>
                  </w:pPr>
                  <w:r>
                    <w:rPr>
                      <w:rFonts w:hint="eastAsia"/>
                      <w:color w:val="0000FF"/>
                      <w:szCs w:val="21"/>
                    </w:rPr>
                    <w:t>固体废物</w:t>
                  </w:r>
                </w:p>
              </w:tc>
              <w:tc>
                <w:tcPr>
                  <w:tcW w:w="734" w:type="pct"/>
                  <w:vAlign w:val="center"/>
                </w:tcPr>
                <w:p>
                  <w:pPr>
                    <w:jc w:val="center"/>
                    <w:rPr>
                      <w:color w:val="0000FF"/>
                      <w:szCs w:val="21"/>
                    </w:rPr>
                  </w:pPr>
                  <w:r>
                    <w:rPr>
                      <w:rFonts w:hint="eastAsia"/>
                      <w:color w:val="0000FF"/>
                      <w:szCs w:val="21"/>
                    </w:rPr>
                    <w:t>给料机1</w:t>
                  </w:r>
                </w:p>
              </w:tc>
              <w:tc>
                <w:tcPr>
                  <w:tcW w:w="741" w:type="pct"/>
                  <w:vAlign w:val="center"/>
                </w:tcPr>
                <w:p>
                  <w:pPr>
                    <w:jc w:val="center"/>
                    <w:rPr>
                      <w:color w:val="0000FF"/>
                      <w:szCs w:val="21"/>
                    </w:rPr>
                  </w:pPr>
                  <w:r>
                    <w:rPr>
                      <w:rFonts w:hint="eastAsia"/>
                      <w:color w:val="0000FF"/>
                      <w:szCs w:val="21"/>
                    </w:rPr>
                    <w:t>S</w:t>
                  </w:r>
                  <w:r>
                    <w:rPr>
                      <w:color w:val="0000FF"/>
                      <w:szCs w:val="21"/>
                    </w:rPr>
                    <w:t>1</w:t>
                  </w:r>
                  <w:r>
                    <w:rPr>
                      <w:rFonts w:hint="eastAsia"/>
                      <w:color w:val="0000FF"/>
                      <w:szCs w:val="21"/>
                    </w:rPr>
                    <w:t>、S</w:t>
                  </w:r>
                  <w:r>
                    <w:rPr>
                      <w:color w:val="0000FF"/>
                      <w:szCs w:val="21"/>
                    </w:rPr>
                    <w:t>2</w:t>
                  </w:r>
                </w:p>
              </w:tc>
              <w:tc>
                <w:tcPr>
                  <w:tcW w:w="2178" w:type="pct"/>
                  <w:vAlign w:val="center"/>
                </w:tcPr>
                <w:p>
                  <w:pPr>
                    <w:jc w:val="center"/>
                    <w:rPr>
                      <w:color w:val="0000FF"/>
                      <w:szCs w:val="21"/>
                    </w:rPr>
                  </w:pPr>
                  <w:r>
                    <w:rPr>
                      <w:rFonts w:hint="eastAsia"/>
                      <w:color w:val="0000FF"/>
                      <w:szCs w:val="21"/>
                    </w:rPr>
                    <w:t>废润滑油、含油棉纱/抹布</w:t>
                  </w:r>
                </w:p>
              </w:tc>
              <w:tc>
                <w:tcPr>
                  <w:tcW w:w="944" w:type="pct"/>
                  <w:vAlign w:val="center"/>
                </w:tcPr>
                <w:p>
                  <w:pPr>
                    <w:jc w:val="center"/>
                    <w:rPr>
                      <w:color w:val="0000FF"/>
                      <w:szCs w:val="21"/>
                    </w:rPr>
                  </w:pPr>
                  <w:r>
                    <w:rPr>
                      <w:rFonts w:hint="eastAsia"/>
                      <w:color w:val="0000FF"/>
                      <w:szCs w:val="21"/>
                    </w:rPr>
                    <w:t>委托处置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vMerge w:val="continue"/>
                  <w:vAlign w:val="center"/>
                </w:tcPr>
                <w:p>
                  <w:pPr>
                    <w:jc w:val="center"/>
                    <w:rPr>
                      <w:color w:val="0000FF"/>
                      <w:szCs w:val="21"/>
                    </w:rPr>
                  </w:pPr>
                  <w:bookmarkStart w:id="33" w:name="_Hlk139634550"/>
                </w:p>
              </w:tc>
              <w:tc>
                <w:tcPr>
                  <w:tcW w:w="734" w:type="pct"/>
                  <w:vAlign w:val="center"/>
                </w:tcPr>
                <w:p>
                  <w:pPr>
                    <w:jc w:val="center"/>
                    <w:rPr>
                      <w:color w:val="0000FF"/>
                      <w:szCs w:val="21"/>
                    </w:rPr>
                  </w:pPr>
                  <w:r>
                    <w:rPr>
                      <w:rFonts w:hint="eastAsia"/>
                      <w:color w:val="0000FF"/>
                      <w:szCs w:val="21"/>
                    </w:rPr>
                    <w:t>颚式破碎机</w:t>
                  </w:r>
                </w:p>
              </w:tc>
              <w:tc>
                <w:tcPr>
                  <w:tcW w:w="741" w:type="pct"/>
                  <w:vAlign w:val="center"/>
                </w:tcPr>
                <w:p>
                  <w:pPr>
                    <w:jc w:val="center"/>
                    <w:rPr>
                      <w:color w:val="0000FF"/>
                      <w:szCs w:val="21"/>
                    </w:rPr>
                  </w:pPr>
                  <w:r>
                    <w:rPr>
                      <w:rFonts w:hint="eastAsia"/>
                      <w:color w:val="0000FF"/>
                      <w:szCs w:val="21"/>
                    </w:rPr>
                    <w:t>S</w:t>
                  </w:r>
                  <w:r>
                    <w:rPr>
                      <w:color w:val="0000FF"/>
                      <w:szCs w:val="21"/>
                    </w:rPr>
                    <w:t>1</w:t>
                  </w:r>
                  <w:r>
                    <w:rPr>
                      <w:rFonts w:hint="eastAsia"/>
                      <w:color w:val="0000FF"/>
                      <w:szCs w:val="21"/>
                    </w:rPr>
                    <w:t>、S</w:t>
                  </w:r>
                  <w:r>
                    <w:rPr>
                      <w:color w:val="0000FF"/>
                      <w:szCs w:val="21"/>
                    </w:rPr>
                    <w:t>2</w:t>
                  </w:r>
                </w:p>
              </w:tc>
              <w:tc>
                <w:tcPr>
                  <w:tcW w:w="2178" w:type="pct"/>
                  <w:vAlign w:val="center"/>
                </w:tcPr>
                <w:p>
                  <w:pPr>
                    <w:jc w:val="center"/>
                    <w:rPr>
                      <w:color w:val="0000FF"/>
                      <w:szCs w:val="21"/>
                    </w:rPr>
                  </w:pPr>
                  <w:r>
                    <w:rPr>
                      <w:rFonts w:hint="eastAsia"/>
                      <w:color w:val="0000FF"/>
                      <w:szCs w:val="21"/>
                    </w:rPr>
                    <w:t>废润滑油、含油棉纱/抹布</w:t>
                  </w:r>
                </w:p>
              </w:tc>
              <w:tc>
                <w:tcPr>
                  <w:tcW w:w="944" w:type="pct"/>
                  <w:vAlign w:val="center"/>
                </w:tcPr>
                <w:p>
                  <w:pPr>
                    <w:jc w:val="center"/>
                    <w:rPr>
                      <w:color w:val="0000FF"/>
                      <w:szCs w:val="21"/>
                    </w:rPr>
                  </w:pPr>
                  <w:r>
                    <w:rPr>
                      <w:rFonts w:hint="eastAsia"/>
                      <w:color w:val="0000FF"/>
                      <w:szCs w:val="21"/>
                    </w:rPr>
                    <w:t>委托处置</w:t>
                  </w:r>
                </w:p>
              </w:tc>
            </w:tr>
            <w:bookmarkEnd w:id="3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vMerge w:val="continue"/>
                  <w:vAlign w:val="center"/>
                </w:tcPr>
                <w:p>
                  <w:pPr>
                    <w:jc w:val="center"/>
                    <w:rPr>
                      <w:color w:val="0000FF"/>
                      <w:szCs w:val="21"/>
                    </w:rPr>
                  </w:pPr>
                </w:p>
              </w:tc>
              <w:tc>
                <w:tcPr>
                  <w:tcW w:w="734" w:type="pct"/>
                  <w:vAlign w:val="center"/>
                </w:tcPr>
                <w:p>
                  <w:pPr>
                    <w:jc w:val="center"/>
                    <w:rPr>
                      <w:color w:val="0000FF"/>
                      <w:szCs w:val="21"/>
                    </w:rPr>
                  </w:pPr>
                  <w:r>
                    <w:rPr>
                      <w:rFonts w:hint="eastAsia"/>
                      <w:color w:val="0000FF"/>
                      <w:szCs w:val="21"/>
                    </w:rPr>
                    <w:t>圆锥破碎机</w:t>
                  </w:r>
                </w:p>
              </w:tc>
              <w:tc>
                <w:tcPr>
                  <w:tcW w:w="741" w:type="pct"/>
                  <w:vAlign w:val="center"/>
                </w:tcPr>
                <w:p>
                  <w:pPr>
                    <w:jc w:val="center"/>
                    <w:rPr>
                      <w:color w:val="0000FF"/>
                      <w:szCs w:val="21"/>
                    </w:rPr>
                  </w:pPr>
                  <w:r>
                    <w:rPr>
                      <w:rFonts w:hint="eastAsia"/>
                      <w:color w:val="0000FF"/>
                      <w:szCs w:val="21"/>
                    </w:rPr>
                    <w:t>S</w:t>
                  </w:r>
                  <w:r>
                    <w:rPr>
                      <w:color w:val="0000FF"/>
                      <w:szCs w:val="21"/>
                    </w:rPr>
                    <w:t>1</w:t>
                  </w:r>
                  <w:r>
                    <w:rPr>
                      <w:rFonts w:hint="eastAsia"/>
                      <w:color w:val="0000FF"/>
                      <w:szCs w:val="21"/>
                    </w:rPr>
                    <w:t>、S</w:t>
                  </w:r>
                  <w:r>
                    <w:rPr>
                      <w:color w:val="0000FF"/>
                      <w:szCs w:val="21"/>
                    </w:rPr>
                    <w:t>2</w:t>
                  </w:r>
                </w:p>
              </w:tc>
              <w:tc>
                <w:tcPr>
                  <w:tcW w:w="2178" w:type="pct"/>
                  <w:vAlign w:val="center"/>
                </w:tcPr>
                <w:p>
                  <w:pPr>
                    <w:jc w:val="center"/>
                    <w:rPr>
                      <w:color w:val="0000FF"/>
                      <w:szCs w:val="21"/>
                    </w:rPr>
                  </w:pPr>
                  <w:r>
                    <w:rPr>
                      <w:rFonts w:hint="eastAsia"/>
                      <w:color w:val="0000FF"/>
                      <w:szCs w:val="21"/>
                    </w:rPr>
                    <w:t>废润滑油、含油棉纱/抹布</w:t>
                  </w:r>
                </w:p>
              </w:tc>
              <w:tc>
                <w:tcPr>
                  <w:tcW w:w="944" w:type="pct"/>
                  <w:vAlign w:val="center"/>
                </w:tcPr>
                <w:p>
                  <w:pPr>
                    <w:jc w:val="center"/>
                    <w:rPr>
                      <w:color w:val="0000FF"/>
                      <w:szCs w:val="21"/>
                    </w:rPr>
                  </w:pPr>
                  <w:r>
                    <w:rPr>
                      <w:rFonts w:hint="eastAsia"/>
                      <w:color w:val="0000FF"/>
                      <w:szCs w:val="21"/>
                    </w:rPr>
                    <w:t>委托处置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vMerge w:val="continue"/>
                  <w:vAlign w:val="center"/>
                </w:tcPr>
                <w:p>
                  <w:pPr>
                    <w:jc w:val="center"/>
                    <w:rPr>
                      <w:color w:val="0000FF"/>
                      <w:szCs w:val="21"/>
                    </w:rPr>
                  </w:pPr>
                </w:p>
              </w:tc>
              <w:tc>
                <w:tcPr>
                  <w:tcW w:w="734" w:type="pct"/>
                  <w:vAlign w:val="center"/>
                </w:tcPr>
                <w:p>
                  <w:pPr>
                    <w:jc w:val="center"/>
                    <w:rPr>
                      <w:color w:val="0000FF"/>
                      <w:szCs w:val="21"/>
                    </w:rPr>
                  </w:pPr>
                  <w:r>
                    <w:rPr>
                      <w:rFonts w:hint="eastAsia"/>
                      <w:color w:val="0000FF"/>
                      <w:szCs w:val="21"/>
                    </w:rPr>
                    <w:t>给料机2</w:t>
                  </w:r>
                </w:p>
              </w:tc>
              <w:tc>
                <w:tcPr>
                  <w:tcW w:w="741" w:type="pct"/>
                  <w:vAlign w:val="center"/>
                </w:tcPr>
                <w:p>
                  <w:pPr>
                    <w:jc w:val="center"/>
                    <w:rPr>
                      <w:color w:val="0000FF"/>
                      <w:szCs w:val="21"/>
                    </w:rPr>
                  </w:pPr>
                  <w:r>
                    <w:rPr>
                      <w:rFonts w:hint="eastAsia"/>
                      <w:color w:val="0000FF"/>
                      <w:szCs w:val="21"/>
                    </w:rPr>
                    <w:t>S</w:t>
                  </w:r>
                  <w:r>
                    <w:rPr>
                      <w:color w:val="0000FF"/>
                      <w:szCs w:val="21"/>
                    </w:rPr>
                    <w:t>1</w:t>
                  </w:r>
                  <w:r>
                    <w:rPr>
                      <w:rFonts w:hint="eastAsia"/>
                      <w:color w:val="0000FF"/>
                      <w:szCs w:val="21"/>
                    </w:rPr>
                    <w:t>、S</w:t>
                  </w:r>
                  <w:r>
                    <w:rPr>
                      <w:color w:val="0000FF"/>
                      <w:szCs w:val="21"/>
                    </w:rPr>
                    <w:t>2</w:t>
                  </w:r>
                </w:p>
              </w:tc>
              <w:tc>
                <w:tcPr>
                  <w:tcW w:w="2178" w:type="pct"/>
                  <w:vAlign w:val="center"/>
                </w:tcPr>
                <w:p>
                  <w:pPr>
                    <w:jc w:val="center"/>
                    <w:rPr>
                      <w:color w:val="0000FF"/>
                      <w:szCs w:val="21"/>
                    </w:rPr>
                  </w:pPr>
                  <w:r>
                    <w:rPr>
                      <w:rFonts w:hint="eastAsia"/>
                      <w:color w:val="0000FF"/>
                      <w:szCs w:val="21"/>
                    </w:rPr>
                    <w:t>废润滑油、含油棉纱/抹布</w:t>
                  </w:r>
                </w:p>
              </w:tc>
              <w:tc>
                <w:tcPr>
                  <w:tcW w:w="944" w:type="pct"/>
                  <w:vAlign w:val="center"/>
                </w:tcPr>
                <w:p>
                  <w:pPr>
                    <w:jc w:val="center"/>
                    <w:rPr>
                      <w:color w:val="0000FF"/>
                      <w:szCs w:val="21"/>
                    </w:rPr>
                  </w:pPr>
                  <w:r>
                    <w:rPr>
                      <w:rFonts w:hint="eastAsia"/>
                      <w:color w:val="0000FF"/>
                      <w:szCs w:val="21"/>
                    </w:rPr>
                    <w:t>委托处置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02" w:type="pct"/>
                  <w:vMerge w:val="continue"/>
                  <w:vAlign w:val="center"/>
                </w:tcPr>
                <w:p>
                  <w:pPr>
                    <w:jc w:val="center"/>
                    <w:rPr>
                      <w:color w:val="0000FF"/>
                      <w:szCs w:val="21"/>
                    </w:rPr>
                  </w:pPr>
                </w:p>
              </w:tc>
              <w:tc>
                <w:tcPr>
                  <w:tcW w:w="734" w:type="pct"/>
                  <w:vAlign w:val="center"/>
                </w:tcPr>
                <w:p>
                  <w:pPr>
                    <w:jc w:val="center"/>
                    <w:rPr>
                      <w:color w:val="0000FF"/>
                      <w:szCs w:val="21"/>
                    </w:rPr>
                  </w:pPr>
                  <w:r>
                    <w:rPr>
                      <w:rFonts w:hint="eastAsia"/>
                      <w:color w:val="0000FF"/>
                      <w:szCs w:val="21"/>
                    </w:rPr>
                    <w:t>高效制砂机</w:t>
                  </w:r>
                </w:p>
              </w:tc>
              <w:tc>
                <w:tcPr>
                  <w:tcW w:w="741" w:type="pct"/>
                  <w:vAlign w:val="center"/>
                </w:tcPr>
                <w:p>
                  <w:pPr>
                    <w:jc w:val="center"/>
                    <w:rPr>
                      <w:color w:val="0000FF"/>
                      <w:szCs w:val="21"/>
                    </w:rPr>
                  </w:pPr>
                  <w:r>
                    <w:rPr>
                      <w:rFonts w:hint="eastAsia"/>
                      <w:color w:val="0000FF"/>
                      <w:szCs w:val="21"/>
                    </w:rPr>
                    <w:t>S</w:t>
                  </w:r>
                  <w:r>
                    <w:rPr>
                      <w:color w:val="0000FF"/>
                      <w:szCs w:val="21"/>
                    </w:rPr>
                    <w:t>1</w:t>
                  </w:r>
                  <w:r>
                    <w:rPr>
                      <w:rFonts w:hint="eastAsia"/>
                      <w:color w:val="0000FF"/>
                      <w:szCs w:val="21"/>
                    </w:rPr>
                    <w:t>、S</w:t>
                  </w:r>
                  <w:r>
                    <w:rPr>
                      <w:color w:val="0000FF"/>
                      <w:szCs w:val="21"/>
                    </w:rPr>
                    <w:t>2</w:t>
                  </w:r>
                </w:p>
              </w:tc>
              <w:tc>
                <w:tcPr>
                  <w:tcW w:w="2178" w:type="pct"/>
                  <w:vAlign w:val="center"/>
                </w:tcPr>
                <w:p>
                  <w:pPr>
                    <w:jc w:val="center"/>
                    <w:rPr>
                      <w:color w:val="0000FF"/>
                      <w:szCs w:val="21"/>
                    </w:rPr>
                  </w:pPr>
                  <w:r>
                    <w:rPr>
                      <w:rFonts w:hint="eastAsia"/>
                      <w:color w:val="0000FF"/>
                      <w:szCs w:val="21"/>
                    </w:rPr>
                    <w:t>废润滑油、含油棉纱/抹布</w:t>
                  </w:r>
                </w:p>
              </w:tc>
              <w:tc>
                <w:tcPr>
                  <w:tcW w:w="944" w:type="pct"/>
                  <w:vAlign w:val="center"/>
                </w:tcPr>
                <w:p>
                  <w:pPr>
                    <w:jc w:val="center"/>
                    <w:rPr>
                      <w:color w:val="0000FF"/>
                      <w:szCs w:val="21"/>
                    </w:rPr>
                  </w:pPr>
                  <w:r>
                    <w:rPr>
                      <w:rFonts w:hint="eastAsia"/>
                      <w:color w:val="0000FF"/>
                      <w:szCs w:val="21"/>
                    </w:rPr>
                    <w:t>委托处置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vMerge w:val="continue"/>
                  <w:vAlign w:val="center"/>
                </w:tcPr>
                <w:p>
                  <w:pPr>
                    <w:jc w:val="center"/>
                    <w:rPr>
                      <w:color w:val="0000FF"/>
                      <w:szCs w:val="21"/>
                    </w:rPr>
                  </w:pPr>
                </w:p>
              </w:tc>
              <w:tc>
                <w:tcPr>
                  <w:tcW w:w="734" w:type="pct"/>
                  <w:vAlign w:val="center"/>
                </w:tcPr>
                <w:p>
                  <w:pPr>
                    <w:jc w:val="center"/>
                    <w:rPr>
                      <w:color w:val="0000FF"/>
                      <w:szCs w:val="21"/>
                    </w:rPr>
                  </w:pPr>
                  <w:r>
                    <w:rPr>
                      <w:rFonts w:hint="eastAsia"/>
                      <w:color w:val="0000FF"/>
                      <w:szCs w:val="21"/>
                    </w:rPr>
                    <w:t>洗砂机</w:t>
                  </w:r>
                </w:p>
              </w:tc>
              <w:tc>
                <w:tcPr>
                  <w:tcW w:w="741" w:type="pct"/>
                  <w:vAlign w:val="center"/>
                </w:tcPr>
                <w:p>
                  <w:pPr>
                    <w:jc w:val="center"/>
                    <w:rPr>
                      <w:color w:val="0000FF"/>
                      <w:szCs w:val="21"/>
                    </w:rPr>
                  </w:pPr>
                  <w:r>
                    <w:rPr>
                      <w:rFonts w:hint="eastAsia"/>
                      <w:color w:val="0000FF"/>
                      <w:szCs w:val="21"/>
                    </w:rPr>
                    <w:t>S</w:t>
                  </w:r>
                  <w:r>
                    <w:rPr>
                      <w:color w:val="0000FF"/>
                      <w:szCs w:val="21"/>
                    </w:rPr>
                    <w:t>1</w:t>
                  </w:r>
                  <w:r>
                    <w:rPr>
                      <w:rFonts w:hint="eastAsia"/>
                      <w:color w:val="0000FF"/>
                      <w:szCs w:val="21"/>
                    </w:rPr>
                    <w:t>、S</w:t>
                  </w:r>
                  <w:r>
                    <w:rPr>
                      <w:color w:val="0000FF"/>
                      <w:szCs w:val="21"/>
                    </w:rPr>
                    <w:t>2</w:t>
                  </w:r>
                </w:p>
              </w:tc>
              <w:tc>
                <w:tcPr>
                  <w:tcW w:w="2178" w:type="pct"/>
                  <w:vAlign w:val="center"/>
                </w:tcPr>
                <w:p>
                  <w:pPr>
                    <w:jc w:val="center"/>
                    <w:rPr>
                      <w:color w:val="0000FF"/>
                      <w:szCs w:val="21"/>
                    </w:rPr>
                  </w:pPr>
                  <w:r>
                    <w:rPr>
                      <w:rFonts w:hint="eastAsia"/>
                      <w:color w:val="0000FF"/>
                      <w:szCs w:val="21"/>
                    </w:rPr>
                    <w:t>废润滑油、含油棉纱/抹布</w:t>
                  </w:r>
                </w:p>
              </w:tc>
              <w:tc>
                <w:tcPr>
                  <w:tcW w:w="944" w:type="pct"/>
                  <w:vAlign w:val="center"/>
                </w:tcPr>
                <w:p>
                  <w:pPr>
                    <w:jc w:val="center"/>
                    <w:rPr>
                      <w:color w:val="0000FF"/>
                      <w:szCs w:val="21"/>
                    </w:rPr>
                  </w:pPr>
                  <w:r>
                    <w:rPr>
                      <w:rFonts w:hint="eastAsia"/>
                      <w:color w:val="0000FF"/>
                      <w:szCs w:val="21"/>
                    </w:rPr>
                    <w:t>委托处置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vMerge w:val="continue"/>
                  <w:vAlign w:val="center"/>
                </w:tcPr>
                <w:p>
                  <w:pPr>
                    <w:jc w:val="center"/>
                    <w:rPr>
                      <w:color w:val="0000FF"/>
                      <w:szCs w:val="21"/>
                    </w:rPr>
                  </w:pPr>
                </w:p>
              </w:tc>
              <w:tc>
                <w:tcPr>
                  <w:tcW w:w="734" w:type="pct"/>
                  <w:vAlign w:val="center"/>
                </w:tcPr>
                <w:p>
                  <w:pPr>
                    <w:jc w:val="center"/>
                    <w:rPr>
                      <w:color w:val="0000FF"/>
                      <w:szCs w:val="21"/>
                    </w:rPr>
                  </w:pPr>
                  <w:r>
                    <w:rPr>
                      <w:rFonts w:hint="eastAsia"/>
                      <w:color w:val="0000FF"/>
                      <w:szCs w:val="21"/>
                    </w:rPr>
                    <w:t>三级沉淀池</w:t>
                  </w:r>
                </w:p>
              </w:tc>
              <w:tc>
                <w:tcPr>
                  <w:tcW w:w="741" w:type="pct"/>
                  <w:vAlign w:val="center"/>
                </w:tcPr>
                <w:p>
                  <w:pPr>
                    <w:jc w:val="center"/>
                    <w:rPr>
                      <w:color w:val="0000FF"/>
                      <w:szCs w:val="21"/>
                    </w:rPr>
                  </w:pPr>
                  <w:r>
                    <w:rPr>
                      <w:rFonts w:hint="eastAsia"/>
                      <w:color w:val="0000FF"/>
                      <w:szCs w:val="21"/>
                    </w:rPr>
                    <w:t>S</w:t>
                  </w:r>
                  <w:r>
                    <w:rPr>
                      <w:color w:val="0000FF"/>
                      <w:szCs w:val="21"/>
                    </w:rPr>
                    <w:t>3</w:t>
                  </w:r>
                </w:p>
              </w:tc>
              <w:tc>
                <w:tcPr>
                  <w:tcW w:w="2178" w:type="pct"/>
                  <w:vAlign w:val="center"/>
                </w:tcPr>
                <w:p>
                  <w:pPr>
                    <w:jc w:val="center"/>
                    <w:rPr>
                      <w:color w:val="0000FF"/>
                      <w:szCs w:val="21"/>
                    </w:rPr>
                  </w:pPr>
                  <w:r>
                    <w:rPr>
                      <w:rFonts w:hint="eastAsia"/>
                      <w:color w:val="0000FF"/>
                      <w:szCs w:val="21"/>
                    </w:rPr>
                    <w:t>沉淀池污泥</w:t>
                  </w:r>
                </w:p>
              </w:tc>
              <w:tc>
                <w:tcPr>
                  <w:tcW w:w="944" w:type="pct"/>
                  <w:vAlign w:val="center"/>
                </w:tcPr>
                <w:p>
                  <w:pPr>
                    <w:jc w:val="center"/>
                    <w:rPr>
                      <w:color w:val="0000FF"/>
                      <w:szCs w:val="21"/>
                    </w:rPr>
                  </w:pPr>
                  <w:r>
                    <w:rPr>
                      <w:rFonts w:hint="eastAsia"/>
                      <w:color w:val="0000FF"/>
                      <w:szCs w:val="21"/>
                    </w:rPr>
                    <w:t>委托处置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vMerge w:val="continue"/>
                  <w:vAlign w:val="center"/>
                </w:tcPr>
                <w:p>
                  <w:pPr>
                    <w:jc w:val="center"/>
                    <w:rPr>
                      <w:color w:val="0000FF"/>
                      <w:szCs w:val="21"/>
                    </w:rPr>
                  </w:pPr>
                </w:p>
              </w:tc>
              <w:tc>
                <w:tcPr>
                  <w:tcW w:w="734" w:type="pct"/>
                  <w:vAlign w:val="center"/>
                </w:tcPr>
                <w:p>
                  <w:pPr>
                    <w:jc w:val="center"/>
                    <w:rPr>
                      <w:color w:val="0000FF"/>
                      <w:szCs w:val="21"/>
                    </w:rPr>
                  </w:pPr>
                  <w:r>
                    <w:rPr>
                      <w:rFonts w:hint="eastAsia"/>
                      <w:color w:val="0000FF"/>
                      <w:szCs w:val="21"/>
                    </w:rPr>
                    <w:t>办公生活区</w:t>
                  </w:r>
                </w:p>
              </w:tc>
              <w:tc>
                <w:tcPr>
                  <w:tcW w:w="741" w:type="pct"/>
                  <w:vAlign w:val="center"/>
                </w:tcPr>
                <w:p>
                  <w:pPr>
                    <w:jc w:val="center"/>
                    <w:rPr>
                      <w:color w:val="0000FF"/>
                      <w:szCs w:val="21"/>
                    </w:rPr>
                  </w:pPr>
                  <w:r>
                    <w:rPr>
                      <w:rFonts w:hint="eastAsia"/>
                      <w:color w:val="0000FF"/>
                      <w:szCs w:val="21"/>
                    </w:rPr>
                    <w:t>S</w:t>
                  </w:r>
                  <w:r>
                    <w:rPr>
                      <w:color w:val="0000FF"/>
                      <w:szCs w:val="21"/>
                    </w:rPr>
                    <w:t>4</w:t>
                  </w:r>
                  <w:r>
                    <w:rPr>
                      <w:rFonts w:hint="eastAsia"/>
                      <w:color w:val="0000FF"/>
                      <w:szCs w:val="21"/>
                    </w:rPr>
                    <w:t>、S</w:t>
                  </w:r>
                  <w:r>
                    <w:rPr>
                      <w:color w:val="0000FF"/>
                      <w:szCs w:val="21"/>
                    </w:rPr>
                    <w:t>5</w:t>
                  </w:r>
                </w:p>
              </w:tc>
              <w:tc>
                <w:tcPr>
                  <w:tcW w:w="2178" w:type="pct"/>
                  <w:vAlign w:val="center"/>
                </w:tcPr>
                <w:p>
                  <w:pPr>
                    <w:jc w:val="center"/>
                    <w:rPr>
                      <w:color w:val="0000FF"/>
                      <w:szCs w:val="21"/>
                    </w:rPr>
                  </w:pPr>
                  <w:r>
                    <w:rPr>
                      <w:rFonts w:hint="eastAsia"/>
                      <w:color w:val="0000FF"/>
                      <w:szCs w:val="21"/>
                    </w:rPr>
                    <w:t>生活垃圾、隔离油脂</w:t>
                  </w:r>
                </w:p>
              </w:tc>
              <w:tc>
                <w:tcPr>
                  <w:tcW w:w="944" w:type="pct"/>
                  <w:vAlign w:val="center"/>
                </w:tcPr>
                <w:p>
                  <w:pPr>
                    <w:jc w:val="center"/>
                    <w:rPr>
                      <w:color w:val="0000FF"/>
                      <w:szCs w:val="21"/>
                    </w:rPr>
                  </w:pPr>
                  <w:r>
                    <w:rPr>
                      <w:rFonts w:hint="eastAsia"/>
                      <w:color w:val="0000FF"/>
                      <w:szCs w:val="21"/>
                    </w:rPr>
                    <w:t>委托处置</w:t>
                  </w:r>
                </w:p>
              </w:tc>
            </w:tr>
            <w:bookmarkEnd w:id="32"/>
          </w:tbl>
          <w:p>
            <w:pPr>
              <w:pStyle w:val="17"/>
              <w:spacing w:line="360" w:lineRule="auto"/>
              <w:jc w:val="left"/>
              <w:rPr>
                <w:rFonts w:ascii="Times New Roman" w:hAnsi="Times New Roman"/>
                <w:b/>
                <w:sz w:val="24"/>
                <w:szCs w:val="24"/>
              </w:rPr>
            </w:pPr>
            <w:r>
              <w:rPr>
                <w:rFonts w:ascii="Times New Roman" w:hAnsi="Times New Roman"/>
                <w:b/>
                <w:sz w:val="24"/>
                <w:szCs w:val="24"/>
              </w:rPr>
              <w:t>工艺流程简述：</w:t>
            </w:r>
          </w:p>
          <w:bookmarkEnd w:id="31"/>
          <w:p>
            <w:pPr>
              <w:pStyle w:val="13"/>
              <w:spacing w:line="360" w:lineRule="auto"/>
              <w:ind w:firstLine="480" w:firstLineChars="200"/>
              <w:rPr>
                <w:bCs/>
              </w:rPr>
            </w:pPr>
            <w:r>
              <w:rPr>
                <w:rFonts w:hint="eastAsia"/>
                <w:bCs/>
              </w:rPr>
              <w:t>（1）原料输送及堆存：运营期外购原料（砂石土）经自卸车运输至厂区后于原料堆棚内堆存。</w:t>
            </w:r>
          </w:p>
          <w:p>
            <w:pPr>
              <w:pStyle w:val="13"/>
              <w:spacing w:line="360" w:lineRule="auto"/>
              <w:ind w:firstLine="480" w:firstLineChars="200"/>
              <w:rPr>
                <w:bCs/>
              </w:rPr>
            </w:pPr>
            <w:r>
              <w:rPr>
                <w:rFonts w:hint="eastAsia"/>
                <w:bCs/>
              </w:rPr>
              <w:t>（2）</w:t>
            </w:r>
            <w:r>
              <w:rPr>
                <w:bCs/>
              </w:rPr>
              <w:t>给料：</w:t>
            </w:r>
            <w:r>
              <w:rPr>
                <w:rFonts w:hint="eastAsia"/>
                <w:bCs/>
              </w:rPr>
              <w:t>采用装载机将原料输送至</w:t>
            </w:r>
            <w:r>
              <w:rPr>
                <w:bCs/>
              </w:rPr>
              <w:t>振动给料机，原料连续、均匀地喂入</w:t>
            </w:r>
            <w:r>
              <w:rPr>
                <w:rFonts w:hint="eastAsia"/>
                <w:bCs/>
              </w:rPr>
              <w:t>颚式破碎机中</w:t>
            </w:r>
            <w:r>
              <w:rPr>
                <w:bCs/>
              </w:rPr>
              <w:t>；</w:t>
            </w:r>
          </w:p>
          <w:p>
            <w:pPr>
              <w:pStyle w:val="13"/>
              <w:spacing w:line="360" w:lineRule="auto"/>
              <w:ind w:firstLine="480" w:firstLineChars="200"/>
              <w:rPr>
                <w:bCs/>
              </w:rPr>
            </w:pPr>
            <w:r>
              <w:rPr>
                <w:rFonts w:hint="eastAsia"/>
                <w:bCs/>
              </w:rPr>
              <w:t>（3）</w:t>
            </w:r>
            <w:r>
              <w:rPr>
                <w:bCs/>
              </w:rPr>
              <w:t>破碎</w:t>
            </w:r>
            <w:r>
              <w:rPr>
                <w:rFonts w:hint="eastAsia"/>
                <w:bCs/>
              </w:rPr>
              <w:t>：</w:t>
            </w:r>
            <w:r>
              <w:rPr>
                <w:bCs/>
              </w:rPr>
              <w:t>大块石头一般要进行粗碎，由给料机送入粗碎设备颚式破碎机中，粗碎后的物料由输送带连续、均匀地送到二段破碎设备反击式破碎机（破碎软料）/圆锥破碎机（破碎硬料）中进行</w:t>
            </w:r>
            <w:r>
              <w:rPr>
                <w:rFonts w:hint="eastAsia"/>
                <w:bCs/>
              </w:rPr>
              <w:t>破碎</w:t>
            </w:r>
            <w:r>
              <w:rPr>
                <w:bCs/>
              </w:rPr>
              <w:t>；</w:t>
            </w:r>
          </w:p>
          <w:p>
            <w:pPr>
              <w:pStyle w:val="13"/>
              <w:spacing w:line="360" w:lineRule="auto"/>
              <w:ind w:firstLine="480" w:firstLineChars="200"/>
              <w:rPr>
                <w:bCs/>
              </w:rPr>
            </w:pPr>
            <w:r>
              <w:rPr>
                <w:rFonts w:hint="eastAsia"/>
                <w:bCs/>
              </w:rPr>
              <w:t>（4）</w:t>
            </w:r>
            <w:r>
              <w:rPr>
                <w:bCs/>
              </w:rPr>
              <w:t>筛分</w:t>
            </w:r>
            <w:r>
              <w:rPr>
                <w:rFonts w:hint="eastAsia"/>
                <w:bCs/>
              </w:rPr>
              <w:t>1</w:t>
            </w:r>
            <w:r>
              <w:rPr>
                <w:bCs/>
              </w:rPr>
              <w:t>：</w:t>
            </w:r>
            <w:r>
              <w:rPr>
                <w:rFonts w:hint="eastAsia"/>
                <w:bCs/>
              </w:rPr>
              <w:t>经圆锥破碎机</w:t>
            </w:r>
            <w:r>
              <w:rPr>
                <w:bCs/>
              </w:rPr>
              <w:t>破碎后的物料进行筛分，筛分出合格物料送入下一阶段，不合格的返回</w:t>
            </w:r>
            <w:r>
              <w:rPr>
                <w:rFonts w:hint="eastAsia"/>
                <w:bCs/>
              </w:rPr>
              <w:t>圆锥破碎机中进行</w:t>
            </w:r>
            <w:r>
              <w:rPr>
                <w:bCs/>
              </w:rPr>
              <w:t>再破碎；</w:t>
            </w:r>
          </w:p>
          <w:p>
            <w:pPr>
              <w:pStyle w:val="13"/>
              <w:spacing w:line="360" w:lineRule="auto"/>
              <w:ind w:firstLine="480" w:firstLineChars="200"/>
              <w:rPr>
                <w:bCs/>
              </w:rPr>
            </w:pPr>
            <w:r>
              <w:rPr>
                <w:rFonts w:hint="eastAsia"/>
                <w:bCs/>
              </w:rPr>
              <w:t>（5）</w:t>
            </w:r>
            <w:r>
              <w:rPr>
                <w:bCs/>
              </w:rPr>
              <w:t>制砂：</w:t>
            </w:r>
            <w:r>
              <w:rPr>
                <w:rFonts w:hint="eastAsia"/>
                <w:bCs/>
              </w:rPr>
              <w:t>经圆锥破碎机破碎后</w:t>
            </w:r>
            <w:r>
              <w:rPr>
                <w:bCs/>
              </w:rPr>
              <w:t>筛分</w:t>
            </w:r>
            <w:r>
              <w:rPr>
                <w:rFonts w:hint="eastAsia"/>
                <w:bCs/>
              </w:rPr>
              <w:t>出的合格物料由传送带输送至高效</w:t>
            </w:r>
            <w:r>
              <w:rPr>
                <w:bCs/>
              </w:rPr>
              <w:t>制砂机中进行细碎制砂；</w:t>
            </w:r>
          </w:p>
          <w:p>
            <w:pPr>
              <w:pStyle w:val="13"/>
              <w:spacing w:line="360" w:lineRule="auto"/>
              <w:ind w:firstLine="480" w:firstLineChars="200"/>
              <w:rPr>
                <w:bCs/>
              </w:rPr>
            </w:pPr>
            <w:r>
              <w:rPr>
                <w:rFonts w:hint="eastAsia"/>
                <w:bCs/>
              </w:rPr>
              <w:t>（6）</w:t>
            </w:r>
            <w:r>
              <w:rPr>
                <w:bCs/>
              </w:rPr>
              <w:t>筛分</w:t>
            </w:r>
            <w:r>
              <w:rPr>
                <w:rFonts w:hint="eastAsia"/>
                <w:bCs/>
              </w:rPr>
              <w:t>2</w:t>
            </w:r>
            <w:r>
              <w:rPr>
                <w:bCs/>
              </w:rPr>
              <w:t>：细碎后的物料被送入振动筛中再次进行筛分，筛分出合格的物料送入下一阶段，不合格的返回</w:t>
            </w:r>
            <w:r>
              <w:rPr>
                <w:rFonts w:hint="eastAsia"/>
                <w:bCs/>
              </w:rPr>
              <w:t>制砂机进行</w:t>
            </w:r>
            <w:r>
              <w:rPr>
                <w:bCs/>
              </w:rPr>
              <w:t>再次细碎；</w:t>
            </w:r>
          </w:p>
          <w:p>
            <w:pPr>
              <w:pStyle w:val="13"/>
              <w:spacing w:line="360" w:lineRule="auto"/>
              <w:ind w:firstLine="480" w:firstLineChars="200"/>
              <w:rPr>
                <w:sz w:val="21"/>
              </w:rPr>
            </w:pPr>
            <w:r>
              <w:rPr>
                <w:rFonts w:hint="eastAsia"/>
                <w:bCs/>
              </w:rPr>
              <w:t>（7）</w:t>
            </w:r>
            <w:r>
              <w:rPr>
                <w:bCs/>
              </w:rPr>
              <w:t>洗砂：</w:t>
            </w:r>
            <w:r>
              <w:rPr>
                <w:rFonts w:hint="eastAsia"/>
                <w:bCs/>
              </w:rPr>
              <w:t>制砂机出料</w:t>
            </w:r>
            <w:r>
              <w:rPr>
                <w:bCs/>
              </w:rPr>
              <w:t>筛分出合格的物料送到洗砂机进行清洗去杂，然后</w:t>
            </w:r>
            <w:r>
              <w:rPr>
                <w:rFonts w:hint="eastAsia"/>
                <w:bCs/>
              </w:rPr>
              <w:t>采用装载机运输至</w:t>
            </w:r>
            <w:r>
              <w:rPr>
                <w:bCs/>
              </w:rPr>
              <w:t>成品</w:t>
            </w:r>
            <w:r>
              <w:rPr>
                <w:rFonts w:hint="eastAsia"/>
                <w:bCs/>
              </w:rPr>
              <w:t>堆棚堆存，不定期外售</w:t>
            </w:r>
            <w:r>
              <w:rPr>
                <w:bCs/>
              </w:rPr>
              <w:t>。</w:t>
            </w:r>
            <w:r>
              <w:rPr>
                <w:rFonts w:hint="eastAsia"/>
                <w:bCs/>
              </w:rPr>
              <w:t>洗砂废水排入三级沉淀池收集沉淀处理后暂存于清水池，由水泵泵至洗砂机循环使用，不外排。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3" w:type="dxa"/>
            <w:vAlign w:val="center"/>
          </w:tcPr>
          <w:p>
            <w:pPr>
              <w:pStyle w:val="30"/>
              <w:adjustRightInd w:val="0"/>
              <w:snapToGrid w:val="0"/>
              <w:spacing w:before="0" w:beforeAutospacing="0" w:after="0" w:afterAutospacing="0"/>
              <w:jc w:val="center"/>
              <w:rPr>
                <w:rFonts w:ascii="Times New Roman" w:hAnsi="Times New Roman"/>
                <w:color w:val="0000FF"/>
                <w:szCs w:val="24"/>
              </w:rPr>
            </w:pPr>
            <w:r>
              <w:rPr>
                <w:rFonts w:ascii="Times New Roman" w:hAnsi="Times New Roman"/>
                <w:b/>
                <w:color w:val="0000FF"/>
                <w:kern w:val="2"/>
                <w:szCs w:val="24"/>
              </w:rPr>
              <w:t>与项目有关的原有环境污染问题</w:t>
            </w:r>
          </w:p>
        </w:tc>
        <w:tc>
          <w:tcPr>
            <w:tcW w:w="8391" w:type="dxa"/>
          </w:tcPr>
          <w:p>
            <w:pPr>
              <w:spacing w:line="360" w:lineRule="auto"/>
              <w:rPr>
                <w:rFonts w:ascii="黑体" w:hAnsi="黑体" w:eastAsia="黑体"/>
                <w:b/>
                <w:bCs/>
                <w:color w:val="0000FF"/>
                <w:kern w:val="0"/>
                <w:sz w:val="24"/>
              </w:rPr>
            </w:pPr>
            <w:r>
              <w:rPr>
                <w:rFonts w:hint="eastAsia" w:ascii="黑体" w:hAnsi="黑体" w:eastAsia="黑体"/>
                <w:b/>
                <w:bCs/>
                <w:color w:val="0000FF"/>
                <w:kern w:val="0"/>
                <w:sz w:val="24"/>
              </w:rPr>
              <w:t>（十）与项目有关的原有环境污染问题</w:t>
            </w:r>
          </w:p>
          <w:p>
            <w:pPr>
              <w:pStyle w:val="13"/>
              <w:spacing w:line="360" w:lineRule="auto"/>
              <w:ind w:firstLine="480" w:firstLineChars="200"/>
              <w:rPr>
                <w:color w:val="0000FF"/>
              </w:rPr>
            </w:pPr>
            <w:r>
              <w:rPr>
                <w:rFonts w:hint="eastAsia"/>
                <w:bCs/>
                <w:color w:val="0000FF"/>
              </w:rPr>
              <w:t>本项目</w:t>
            </w:r>
            <w:r>
              <w:rPr>
                <w:rFonts w:hint="eastAsia"/>
                <w:color w:val="0000FF"/>
              </w:rPr>
              <w:t>选址位于维西傈僳族自治县白济汛乡下笼嘎组，地理中心坐标为</w:t>
            </w:r>
            <w:r>
              <w:rPr>
                <w:color w:val="0000FF"/>
              </w:rPr>
              <w:t>东经：</w:t>
            </w:r>
            <w:r>
              <w:rPr>
                <w:rFonts w:hint="eastAsia"/>
                <w:color w:val="0000FF"/>
              </w:rPr>
              <w:t>9</w:t>
            </w:r>
            <w:r>
              <w:rPr>
                <w:color w:val="0000FF"/>
              </w:rPr>
              <w:t>9度</w:t>
            </w:r>
            <w:r>
              <w:rPr>
                <w:rFonts w:hint="eastAsia"/>
                <w:color w:val="0000FF"/>
              </w:rPr>
              <w:t>5</w:t>
            </w:r>
            <w:r>
              <w:rPr>
                <w:color w:val="0000FF"/>
              </w:rPr>
              <w:t>分7.2457秒，北纬：27度21分13.755秒</w:t>
            </w:r>
            <w:r>
              <w:rPr>
                <w:rFonts w:hint="eastAsia"/>
                <w:color w:val="0000FF"/>
              </w:rPr>
              <w:t>，属农村地区。本项目为新建项目，不存在与项目有关的原有环境污染问题。</w:t>
            </w:r>
          </w:p>
          <w:p>
            <w:pPr>
              <w:pStyle w:val="13"/>
              <w:spacing w:line="360" w:lineRule="auto"/>
              <w:ind w:firstLine="480" w:firstLineChars="200"/>
              <w:rPr>
                <w:color w:val="0000FF"/>
              </w:rPr>
            </w:pPr>
            <w:r>
              <w:rPr>
                <w:rFonts w:hint="eastAsia"/>
                <w:color w:val="0000FF"/>
              </w:rPr>
              <w:t>根据现场勘察，本项目涉及“未批先建”，针对项目现状存在的环境问题，本次评价提出以下整改措施和建议：</w:t>
            </w:r>
          </w:p>
          <w:p>
            <w:pPr>
              <w:pStyle w:val="13"/>
              <w:spacing w:line="240" w:lineRule="auto"/>
              <w:ind w:firstLine="0"/>
              <w:jc w:val="center"/>
              <w:rPr>
                <w:b/>
                <w:color w:val="0000FF"/>
              </w:rPr>
            </w:pPr>
            <w:r>
              <w:rPr>
                <w:rFonts w:hint="eastAsia"/>
                <w:b/>
                <w:color w:val="0000FF"/>
              </w:rPr>
              <w:t>表2</w:t>
            </w:r>
            <w:r>
              <w:rPr>
                <w:b/>
                <w:color w:val="0000FF"/>
              </w:rPr>
              <w:t xml:space="preserve">.10-1  </w:t>
            </w:r>
            <w:r>
              <w:rPr>
                <w:rFonts w:hint="eastAsia"/>
                <w:b/>
                <w:color w:val="0000FF"/>
              </w:rPr>
              <w:t>项目现状存在的环境问题及整改建议</w:t>
            </w:r>
          </w:p>
          <w:tbl>
            <w:tblPr>
              <w:tblStyle w:val="3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82"/>
              <w:gridCol w:w="2151"/>
              <w:gridCol w:w="52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9" w:type="pct"/>
                  <w:vAlign w:val="center"/>
                </w:tcPr>
                <w:p>
                  <w:pPr>
                    <w:pStyle w:val="13"/>
                    <w:spacing w:line="240" w:lineRule="auto"/>
                    <w:ind w:firstLine="0"/>
                    <w:jc w:val="center"/>
                    <w:rPr>
                      <w:b/>
                      <w:color w:val="0000FF"/>
                      <w:sz w:val="21"/>
                      <w:szCs w:val="21"/>
                    </w:rPr>
                  </w:pPr>
                  <w:r>
                    <w:rPr>
                      <w:rFonts w:hint="eastAsia"/>
                      <w:b/>
                      <w:color w:val="0000FF"/>
                      <w:sz w:val="21"/>
                      <w:szCs w:val="21"/>
                    </w:rPr>
                    <w:t>序号</w:t>
                  </w:r>
                </w:p>
              </w:tc>
              <w:tc>
                <w:tcPr>
                  <w:tcW w:w="1317" w:type="pct"/>
                  <w:vAlign w:val="center"/>
                </w:tcPr>
                <w:p>
                  <w:pPr>
                    <w:pStyle w:val="13"/>
                    <w:spacing w:line="240" w:lineRule="auto"/>
                    <w:ind w:firstLine="0"/>
                    <w:jc w:val="center"/>
                    <w:rPr>
                      <w:b/>
                      <w:color w:val="0000FF"/>
                      <w:sz w:val="21"/>
                      <w:szCs w:val="21"/>
                    </w:rPr>
                  </w:pPr>
                  <w:r>
                    <w:rPr>
                      <w:rFonts w:hint="eastAsia"/>
                      <w:b/>
                      <w:color w:val="0000FF"/>
                      <w:sz w:val="21"/>
                      <w:szCs w:val="21"/>
                    </w:rPr>
                    <w:t>存在环境问题</w:t>
                  </w:r>
                </w:p>
              </w:tc>
              <w:tc>
                <w:tcPr>
                  <w:tcW w:w="3205" w:type="pct"/>
                  <w:vAlign w:val="center"/>
                </w:tcPr>
                <w:p>
                  <w:pPr>
                    <w:pStyle w:val="13"/>
                    <w:spacing w:line="240" w:lineRule="auto"/>
                    <w:ind w:firstLine="0"/>
                    <w:jc w:val="center"/>
                    <w:rPr>
                      <w:b/>
                      <w:color w:val="0000FF"/>
                      <w:sz w:val="21"/>
                      <w:szCs w:val="21"/>
                    </w:rPr>
                  </w:pPr>
                  <w:r>
                    <w:rPr>
                      <w:rFonts w:hint="eastAsia"/>
                      <w:b/>
                      <w:color w:val="0000FF"/>
                      <w:sz w:val="21"/>
                      <w:szCs w:val="21"/>
                    </w:rPr>
                    <w:t>整改建议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9" w:type="pct"/>
                  <w:vAlign w:val="center"/>
                </w:tcPr>
                <w:p>
                  <w:pPr>
                    <w:pStyle w:val="13"/>
                    <w:spacing w:line="240" w:lineRule="auto"/>
                    <w:ind w:firstLine="0"/>
                    <w:jc w:val="center"/>
                    <w:rPr>
                      <w:color w:val="0000FF"/>
                      <w:sz w:val="21"/>
                      <w:szCs w:val="21"/>
                    </w:rPr>
                  </w:pPr>
                  <w:r>
                    <w:rPr>
                      <w:rFonts w:hint="eastAsia"/>
                      <w:color w:val="0000FF"/>
                      <w:sz w:val="21"/>
                      <w:szCs w:val="21"/>
                    </w:rPr>
                    <w:t>1</w:t>
                  </w:r>
                </w:p>
              </w:tc>
              <w:tc>
                <w:tcPr>
                  <w:tcW w:w="1317" w:type="pct"/>
                  <w:vAlign w:val="center"/>
                </w:tcPr>
                <w:p>
                  <w:pPr>
                    <w:pStyle w:val="13"/>
                    <w:spacing w:line="240" w:lineRule="auto"/>
                    <w:ind w:firstLine="0"/>
                    <w:rPr>
                      <w:color w:val="0000FF"/>
                      <w:sz w:val="21"/>
                      <w:szCs w:val="21"/>
                    </w:rPr>
                  </w:pPr>
                  <w:r>
                    <w:rPr>
                      <w:rFonts w:hint="eastAsia"/>
                      <w:color w:val="0000FF"/>
                      <w:sz w:val="21"/>
                      <w:szCs w:val="21"/>
                    </w:rPr>
                    <w:t>职工食堂内未配置食堂废水隔油设施。</w:t>
                  </w:r>
                </w:p>
              </w:tc>
              <w:tc>
                <w:tcPr>
                  <w:tcW w:w="3205" w:type="pct"/>
                  <w:vAlign w:val="center"/>
                </w:tcPr>
                <w:p>
                  <w:pPr>
                    <w:pStyle w:val="13"/>
                    <w:spacing w:line="240" w:lineRule="auto"/>
                    <w:ind w:firstLine="0"/>
                    <w:rPr>
                      <w:color w:val="0000FF"/>
                      <w:sz w:val="21"/>
                      <w:szCs w:val="21"/>
                    </w:rPr>
                  </w:pPr>
                  <w:r>
                    <w:rPr>
                      <w:rFonts w:hint="eastAsia"/>
                      <w:color w:val="0000FF"/>
                      <w:sz w:val="21"/>
                      <w:szCs w:val="21"/>
                    </w:rPr>
                    <w:t>职工食堂内配置油水分离器1座，处理能力不低于0.05m³/h。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9" w:type="pct"/>
                  <w:vAlign w:val="center"/>
                </w:tcPr>
                <w:p>
                  <w:pPr>
                    <w:pStyle w:val="13"/>
                    <w:spacing w:line="240" w:lineRule="auto"/>
                    <w:ind w:firstLine="0"/>
                    <w:jc w:val="center"/>
                    <w:rPr>
                      <w:color w:val="0000FF"/>
                      <w:sz w:val="21"/>
                      <w:szCs w:val="21"/>
                    </w:rPr>
                  </w:pPr>
                  <w:r>
                    <w:rPr>
                      <w:rFonts w:hint="eastAsia"/>
                      <w:color w:val="0000FF"/>
                      <w:sz w:val="21"/>
                      <w:szCs w:val="21"/>
                    </w:rPr>
                    <w:t>2</w:t>
                  </w:r>
                </w:p>
              </w:tc>
              <w:tc>
                <w:tcPr>
                  <w:tcW w:w="1317" w:type="pct"/>
                  <w:vAlign w:val="center"/>
                </w:tcPr>
                <w:p>
                  <w:pPr>
                    <w:pStyle w:val="13"/>
                    <w:spacing w:line="240" w:lineRule="auto"/>
                    <w:ind w:firstLine="0"/>
                    <w:rPr>
                      <w:color w:val="0000FF"/>
                      <w:sz w:val="21"/>
                      <w:szCs w:val="21"/>
                    </w:rPr>
                  </w:pPr>
                  <w:r>
                    <w:rPr>
                      <w:rFonts w:hint="eastAsia"/>
                      <w:color w:val="0000FF"/>
                      <w:sz w:val="21"/>
                      <w:szCs w:val="21"/>
                    </w:rPr>
                    <w:t>项目区进出口未设置车辆清洁水池。</w:t>
                  </w:r>
                </w:p>
              </w:tc>
              <w:tc>
                <w:tcPr>
                  <w:tcW w:w="3205" w:type="pct"/>
                  <w:vAlign w:val="center"/>
                </w:tcPr>
                <w:p>
                  <w:pPr>
                    <w:pStyle w:val="13"/>
                    <w:spacing w:line="240" w:lineRule="auto"/>
                    <w:ind w:firstLine="0"/>
                    <w:rPr>
                      <w:color w:val="0000FF"/>
                      <w:sz w:val="21"/>
                      <w:szCs w:val="21"/>
                    </w:rPr>
                  </w:pPr>
                  <w:r>
                    <w:rPr>
                      <w:rFonts w:hint="eastAsia"/>
                      <w:color w:val="0000FF"/>
                      <w:sz w:val="21"/>
                      <w:szCs w:val="21"/>
                    </w:rPr>
                    <w:t>项目区出入口处布设车辆清洁池1座，尺寸为：长12m，宽3.4m，采用C15砼浇筑。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479" w:type="pct"/>
                  <w:vAlign w:val="center"/>
                </w:tcPr>
                <w:p>
                  <w:pPr>
                    <w:pStyle w:val="13"/>
                    <w:spacing w:line="240" w:lineRule="auto"/>
                    <w:ind w:firstLine="0"/>
                    <w:jc w:val="center"/>
                    <w:rPr>
                      <w:color w:val="0000FF"/>
                      <w:sz w:val="21"/>
                      <w:szCs w:val="21"/>
                    </w:rPr>
                  </w:pPr>
                  <w:r>
                    <w:rPr>
                      <w:rFonts w:hint="eastAsia"/>
                      <w:color w:val="0000FF"/>
                      <w:sz w:val="21"/>
                      <w:szCs w:val="21"/>
                    </w:rPr>
                    <w:t>3</w:t>
                  </w:r>
                </w:p>
              </w:tc>
              <w:tc>
                <w:tcPr>
                  <w:tcW w:w="1317" w:type="pct"/>
                  <w:vAlign w:val="center"/>
                </w:tcPr>
                <w:p>
                  <w:pPr>
                    <w:pStyle w:val="13"/>
                    <w:spacing w:line="240" w:lineRule="auto"/>
                    <w:ind w:firstLine="0"/>
                    <w:rPr>
                      <w:color w:val="0000FF"/>
                      <w:sz w:val="21"/>
                      <w:szCs w:val="21"/>
                    </w:rPr>
                  </w:pPr>
                  <w:r>
                    <w:rPr>
                      <w:rFonts w:hint="eastAsia"/>
                      <w:color w:val="0000FF"/>
                      <w:sz w:val="21"/>
                      <w:szCs w:val="21"/>
                    </w:rPr>
                    <w:t>成品堆场无扬尘防治措施。</w:t>
                  </w:r>
                </w:p>
              </w:tc>
              <w:tc>
                <w:tcPr>
                  <w:tcW w:w="3205" w:type="pct"/>
                  <w:vAlign w:val="center"/>
                </w:tcPr>
                <w:p>
                  <w:pPr>
                    <w:pStyle w:val="13"/>
                    <w:spacing w:line="240" w:lineRule="auto"/>
                    <w:ind w:firstLine="0"/>
                    <w:rPr>
                      <w:color w:val="0000FF"/>
                      <w:sz w:val="21"/>
                      <w:szCs w:val="21"/>
                    </w:rPr>
                  </w:pPr>
                  <w:r>
                    <w:rPr>
                      <w:rFonts w:hint="eastAsia"/>
                      <w:color w:val="0000FF"/>
                      <w:sz w:val="21"/>
                      <w:szCs w:val="21"/>
                    </w:rPr>
                    <w:t>成品堆棚设置为三面封闭围挡加顶，一面敞口单层钢结构，顶部配置1套喷淋系统。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9" w:type="pct"/>
                  <w:vAlign w:val="center"/>
                </w:tcPr>
                <w:p>
                  <w:pPr>
                    <w:pStyle w:val="13"/>
                    <w:spacing w:line="240" w:lineRule="auto"/>
                    <w:ind w:firstLine="0"/>
                    <w:jc w:val="center"/>
                    <w:rPr>
                      <w:color w:val="0000FF"/>
                      <w:sz w:val="21"/>
                      <w:szCs w:val="21"/>
                    </w:rPr>
                  </w:pPr>
                  <w:r>
                    <w:rPr>
                      <w:rFonts w:hint="eastAsia"/>
                      <w:color w:val="0000FF"/>
                      <w:sz w:val="21"/>
                      <w:szCs w:val="21"/>
                    </w:rPr>
                    <w:t>4</w:t>
                  </w:r>
                </w:p>
              </w:tc>
              <w:tc>
                <w:tcPr>
                  <w:tcW w:w="1317" w:type="pct"/>
                  <w:vAlign w:val="center"/>
                </w:tcPr>
                <w:p>
                  <w:pPr>
                    <w:pStyle w:val="13"/>
                    <w:spacing w:line="240" w:lineRule="auto"/>
                    <w:ind w:firstLine="0"/>
                    <w:rPr>
                      <w:color w:val="0000FF"/>
                      <w:sz w:val="21"/>
                      <w:szCs w:val="21"/>
                    </w:rPr>
                  </w:pPr>
                  <w:r>
                    <w:rPr>
                      <w:rFonts w:hint="eastAsia"/>
                      <w:color w:val="0000FF"/>
                      <w:sz w:val="21"/>
                      <w:szCs w:val="21"/>
                    </w:rPr>
                    <w:t>原料堆棚未设置扬尘防治措施。</w:t>
                  </w:r>
                </w:p>
              </w:tc>
              <w:tc>
                <w:tcPr>
                  <w:tcW w:w="3205" w:type="pct"/>
                  <w:vAlign w:val="center"/>
                </w:tcPr>
                <w:p>
                  <w:pPr>
                    <w:pStyle w:val="13"/>
                    <w:spacing w:line="240" w:lineRule="auto"/>
                    <w:ind w:firstLine="0"/>
                    <w:rPr>
                      <w:color w:val="0000FF"/>
                      <w:sz w:val="21"/>
                      <w:szCs w:val="21"/>
                    </w:rPr>
                  </w:pPr>
                  <w:r>
                    <w:rPr>
                      <w:rFonts w:hint="eastAsia"/>
                      <w:color w:val="0000FF"/>
                      <w:sz w:val="21"/>
                      <w:szCs w:val="21"/>
                    </w:rPr>
                    <w:t>原料堆棚设置为三面封闭围挡加顶，一面敞口单层钢结构，顶部配置1套喷淋系统。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9" w:type="pct"/>
                  <w:vAlign w:val="center"/>
                </w:tcPr>
                <w:p>
                  <w:pPr>
                    <w:pStyle w:val="13"/>
                    <w:spacing w:line="240" w:lineRule="auto"/>
                    <w:ind w:firstLine="0"/>
                    <w:jc w:val="center"/>
                    <w:rPr>
                      <w:color w:val="0000FF"/>
                      <w:sz w:val="21"/>
                      <w:szCs w:val="21"/>
                    </w:rPr>
                  </w:pPr>
                  <w:r>
                    <w:rPr>
                      <w:rFonts w:hint="eastAsia"/>
                      <w:color w:val="0000FF"/>
                      <w:sz w:val="21"/>
                      <w:szCs w:val="21"/>
                    </w:rPr>
                    <w:t>5</w:t>
                  </w:r>
                </w:p>
              </w:tc>
              <w:tc>
                <w:tcPr>
                  <w:tcW w:w="1317" w:type="pct"/>
                  <w:vAlign w:val="center"/>
                </w:tcPr>
                <w:p>
                  <w:pPr>
                    <w:pStyle w:val="13"/>
                    <w:spacing w:line="240" w:lineRule="auto"/>
                    <w:ind w:firstLine="0"/>
                    <w:rPr>
                      <w:color w:val="0000FF"/>
                      <w:sz w:val="21"/>
                      <w:szCs w:val="21"/>
                    </w:rPr>
                  </w:pPr>
                  <w:r>
                    <w:rPr>
                      <w:rFonts w:hint="eastAsia"/>
                      <w:color w:val="0000FF"/>
                      <w:sz w:val="21"/>
                      <w:szCs w:val="21"/>
                    </w:rPr>
                    <w:t>生产线未采取扬尘防治措施。</w:t>
                  </w:r>
                </w:p>
              </w:tc>
              <w:tc>
                <w:tcPr>
                  <w:tcW w:w="3205" w:type="pct"/>
                  <w:vAlign w:val="center"/>
                </w:tcPr>
                <w:p>
                  <w:pPr>
                    <w:pStyle w:val="13"/>
                    <w:spacing w:line="240" w:lineRule="auto"/>
                    <w:ind w:firstLine="0"/>
                    <w:rPr>
                      <w:color w:val="0000FF"/>
                      <w:sz w:val="21"/>
                      <w:szCs w:val="21"/>
                    </w:rPr>
                  </w:pPr>
                  <w:r>
                    <w:rPr>
                      <w:rFonts w:hint="eastAsia"/>
                      <w:color w:val="0000FF"/>
                      <w:sz w:val="21"/>
                      <w:szCs w:val="21"/>
                    </w:rPr>
                    <w:t>破碎站、振动筛进行密闭处理，厂区配置1台布袋除尘器对各破碎、筛分环节扬尘进行收集后通过排气筒DA001进行有组织排放；皮带输送机进行密闭处理。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9" w:type="pct"/>
                  <w:vAlign w:val="center"/>
                </w:tcPr>
                <w:p>
                  <w:pPr>
                    <w:pStyle w:val="13"/>
                    <w:spacing w:line="240" w:lineRule="auto"/>
                    <w:ind w:firstLine="0"/>
                    <w:jc w:val="center"/>
                    <w:rPr>
                      <w:color w:val="0000FF"/>
                      <w:sz w:val="21"/>
                      <w:szCs w:val="21"/>
                    </w:rPr>
                  </w:pPr>
                  <w:r>
                    <w:rPr>
                      <w:rFonts w:hint="eastAsia"/>
                      <w:color w:val="0000FF"/>
                      <w:sz w:val="21"/>
                      <w:szCs w:val="21"/>
                    </w:rPr>
                    <w:t>6</w:t>
                  </w:r>
                </w:p>
              </w:tc>
              <w:tc>
                <w:tcPr>
                  <w:tcW w:w="1317" w:type="pct"/>
                  <w:vAlign w:val="center"/>
                </w:tcPr>
                <w:p>
                  <w:pPr>
                    <w:pStyle w:val="13"/>
                    <w:spacing w:line="240" w:lineRule="auto"/>
                    <w:ind w:firstLine="0"/>
                    <w:rPr>
                      <w:color w:val="0000FF"/>
                      <w:sz w:val="21"/>
                      <w:szCs w:val="21"/>
                    </w:rPr>
                  </w:pPr>
                  <w:r>
                    <w:rPr>
                      <w:rFonts w:hint="eastAsia"/>
                      <w:color w:val="0000FF"/>
                      <w:sz w:val="21"/>
                      <w:szCs w:val="21"/>
                    </w:rPr>
                    <w:t>厂区运输道路未采取扬尘防治措施。</w:t>
                  </w:r>
                </w:p>
              </w:tc>
              <w:tc>
                <w:tcPr>
                  <w:tcW w:w="3205" w:type="pct"/>
                  <w:vAlign w:val="center"/>
                </w:tcPr>
                <w:p>
                  <w:pPr>
                    <w:pStyle w:val="13"/>
                    <w:tabs>
                      <w:tab w:val="left" w:pos="1739"/>
                    </w:tabs>
                    <w:spacing w:line="240" w:lineRule="auto"/>
                    <w:ind w:firstLine="0"/>
                    <w:rPr>
                      <w:color w:val="0000FF"/>
                      <w:sz w:val="21"/>
                      <w:szCs w:val="21"/>
                    </w:rPr>
                  </w:pPr>
                  <w:r>
                    <w:rPr>
                      <w:rFonts w:hint="eastAsia"/>
                      <w:color w:val="0000FF"/>
                      <w:sz w:val="21"/>
                      <w:szCs w:val="21"/>
                    </w:rPr>
                    <w:t>厂区运输道路及地面铺摊碎石铺垫，配置1台移动式雾炮机晴天对厂区进行雾化降尘。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479" w:type="pct"/>
                  <w:vAlign w:val="center"/>
                </w:tcPr>
                <w:p>
                  <w:pPr>
                    <w:pStyle w:val="13"/>
                    <w:spacing w:line="240" w:lineRule="auto"/>
                    <w:ind w:firstLine="0"/>
                    <w:jc w:val="center"/>
                    <w:rPr>
                      <w:color w:val="0000FF"/>
                      <w:sz w:val="21"/>
                      <w:szCs w:val="21"/>
                    </w:rPr>
                  </w:pPr>
                  <w:r>
                    <w:rPr>
                      <w:color w:val="0000FF"/>
                      <w:sz w:val="21"/>
                      <w:szCs w:val="21"/>
                    </w:rPr>
                    <w:t>7</w:t>
                  </w:r>
                </w:p>
              </w:tc>
              <w:tc>
                <w:tcPr>
                  <w:tcW w:w="1317" w:type="pct"/>
                  <w:vAlign w:val="center"/>
                </w:tcPr>
                <w:p>
                  <w:pPr>
                    <w:pStyle w:val="13"/>
                    <w:spacing w:line="240" w:lineRule="auto"/>
                    <w:ind w:firstLine="0"/>
                    <w:rPr>
                      <w:color w:val="0000FF"/>
                      <w:sz w:val="21"/>
                      <w:szCs w:val="21"/>
                    </w:rPr>
                  </w:pPr>
                  <w:r>
                    <w:rPr>
                      <w:rFonts w:hint="eastAsia"/>
                      <w:color w:val="0000FF"/>
                      <w:sz w:val="21"/>
                      <w:szCs w:val="21"/>
                    </w:rPr>
                    <w:t>厂区未设置危废暂存间对危险废物进行收集暂存。</w:t>
                  </w:r>
                </w:p>
              </w:tc>
              <w:tc>
                <w:tcPr>
                  <w:tcW w:w="3205" w:type="pct"/>
                  <w:vAlign w:val="center"/>
                </w:tcPr>
                <w:p>
                  <w:pPr>
                    <w:pStyle w:val="13"/>
                    <w:spacing w:line="240" w:lineRule="auto"/>
                    <w:ind w:firstLine="0"/>
                    <w:rPr>
                      <w:color w:val="0000FF"/>
                      <w:sz w:val="21"/>
                      <w:szCs w:val="21"/>
                    </w:rPr>
                  </w:pPr>
                  <w:r>
                    <w:rPr>
                      <w:rFonts w:hint="eastAsia"/>
                      <w:color w:val="0000FF"/>
                      <w:sz w:val="21"/>
                      <w:szCs w:val="21"/>
                    </w:rPr>
                    <w:t>办公生活区旁新建危废暂存间1座，占地面积约5㎡，按照建设规范要求完善“三防”设施，地面进行重点防渗处理，内部设置砖砌围堰。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9" w:type="pct"/>
                  <w:vAlign w:val="center"/>
                </w:tcPr>
                <w:p>
                  <w:pPr>
                    <w:pStyle w:val="13"/>
                    <w:spacing w:line="240" w:lineRule="auto"/>
                    <w:ind w:firstLine="0"/>
                    <w:jc w:val="center"/>
                    <w:rPr>
                      <w:color w:val="0000FF"/>
                      <w:sz w:val="21"/>
                      <w:szCs w:val="21"/>
                    </w:rPr>
                  </w:pPr>
                  <w:r>
                    <w:rPr>
                      <w:rFonts w:hint="eastAsia"/>
                      <w:color w:val="0000FF"/>
                      <w:sz w:val="21"/>
                      <w:szCs w:val="21"/>
                    </w:rPr>
                    <w:t>8</w:t>
                  </w:r>
                </w:p>
              </w:tc>
              <w:tc>
                <w:tcPr>
                  <w:tcW w:w="1317" w:type="pct"/>
                  <w:vAlign w:val="center"/>
                </w:tcPr>
                <w:p>
                  <w:pPr>
                    <w:pStyle w:val="13"/>
                    <w:spacing w:line="240" w:lineRule="auto"/>
                    <w:ind w:firstLine="0"/>
                    <w:rPr>
                      <w:color w:val="0000FF"/>
                      <w:sz w:val="21"/>
                      <w:szCs w:val="21"/>
                    </w:rPr>
                  </w:pPr>
                  <w:r>
                    <w:rPr>
                      <w:rFonts w:hint="eastAsia"/>
                      <w:color w:val="0000FF"/>
                      <w:sz w:val="21"/>
                      <w:szCs w:val="21"/>
                    </w:rPr>
                    <w:t>厂区未设置污泥干化区。</w:t>
                  </w:r>
                </w:p>
              </w:tc>
              <w:tc>
                <w:tcPr>
                  <w:tcW w:w="3205" w:type="pct"/>
                  <w:vAlign w:val="center"/>
                </w:tcPr>
                <w:p>
                  <w:pPr>
                    <w:pStyle w:val="13"/>
                    <w:spacing w:line="240" w:lineRule="auto"/>
                    <w:ind w:firstLine="0"/>
                    <w:rPr>
                      <w:color w:val="0000FF"/>
                      <w:sz w:val="21"/>
                      <w:szCs w:val="21"/>
                    </w:rPr>
                  </w:pPr>
                  <w:r>
                    <w:rPr>
                      <w:rFonts w:hint="eastAsia"/>
                      <w:color w:val="0000FF"/>
                      <w:sz w:val="21"/>
                      <w:szCs w:val="21"/>
                    </w:rPr>
                    <w:t>三级沉淀池旁设置20㎡淀池污泥干化场1座，三面砖砌围挡，顶部加盖，四周设置接排水沟。</w:t>
                  </w:r>
                </w:p>
              </w:tc>
            </w:tr>
          </w:tbl>
          <w:p>
            <w:pPr>
              <w:pStyle w:val="13"/>
              <w:spacing w:line="360" w:lineRule="auto"/>
              <w:ind w:firstLine="480" w:firstLineChars="200"/>
              <w:rPr>
                <w:bCs/>
                <w:color w:val="0000FF"/>
              </w:rPr>
            </w:pPr>
          </w:p>
        </w:tc>
      </w:tr>
    </w:tbl>
    <w:p>
      <w:pPr>
        <w:pStyle w:val="30"/>
        <w:spacing w:before="0" w:beforeAutospacing="0" w:after="0" w:afterAutospacing="0"/>
        <w:outlineLvl w:val="0"/>
        <w:rPr>
          <w:rFonts w:ascii="Times New Roman" w:hAnsi="Times New Roman"/>
          <w:b/>
          <w:bCs/>
          <w:snapToGrid w:val="0"/>
          <w:sz w:val="30"/>
          <w:szCs w:val="30"/>
        </w:rPr>
        <w:sectPr>
          <w:pgSz w:w="11906" w:h="16838"/>
          <w:pgMar w:top="1701" w:right="1531" w:bottom="1701" w:left="1531" w:header="851" w:footer="851" w:gutter="0"/>
          <w:cols w:space="720" w:num="1"/>
          <w:docGrid w:linePitch="312" w:charSpace="0"/>
        </w:sectPr>
      </w:pPr>
    </w:p>
    <w:p>
      <w:pPr>
        <w:pStyle w:val="30"/>
        <w:spacing w:before="0" w:beforeAutospacing="0" w:after="0" w:afterAutospacing="0"/>
        <w:jc w:val="center"/>
        <w:outlineLvl w:val="0"/>
        <w:rPr>
          <w:rFonts w:ascii="黑体" w:hAnsi="黑体" w:eastAsia="黑体"/>
          <w:b/>
          <w:bCs/>
          <w:snapToGrid w:val="0"/>
          <w:sz w:val="30"/>
          <w:szCs w:val="30"/>
        </w:rPr>
      </w:pPr>
      <w:bookmarkStart w:id="34" w:name="_Toc140064121"/>
      <w:r>
        <w:rPr>
          <w:rFonts w:ascii="黑体" w:hAnsi="黑体" w:eastAsia="黑体"/>
          <w:b/>
          <w:bCs/>
          <w:snapToGrid w:val="0"/>
          <w:sz w:val="30"/>
          <w:szCs w:val="30"/>
        </w:rPr>
        <w:t>三、区域环境质量现状、环境保护目标及评价标准</w:t>
      </w:r>
      <w:bookmarkEnd w:id="34"/>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39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2" w:type="dxa"/>
            <w:vAlign w:val="center"/>
          </w:tcPr>
          <w:p>
            <w:pPr>
              <w:adjustRightInd w:val="0"/>
              <w:snapToGrid w:val="0"/>
              <w:jc w:val="center"/>
              <w:rPr>
                <w:b/>
                <w:bCs/>
                <w:kern w:val="0"/>
                <w:sz w:val="24"/>
              </w:rPr>
            </w:pPr>
            <w:r>
              <w:rPr>
                <w:b/>
                <w:bCs/>
                <w:kern w:val="0"/>
                <w:sz w:val="24"/>
              </w:rPr>
              <w:t>区域</w:t>
            </w:r>
          </w:p>
          <w:p>
            <w:pPr>
              <w:adjustRightInd w:val="0"/>
              <w:snapToGrid w:val="0"/>
              <w:jc w:val="center"/>
              <w:rPr>
                <w:b/>
                <w:bCs/>
                <w:kern w:val="0"/>
                <w:sz w:val="24"/>
              </w:rPr>
            </w:pPr>
            <w:r>
              <w:rPr>
                <w:b/>
                <w:bCs/>
                <w:kern w:val="0"/>
                <w:sz w:val="24"/>
              </w:rPr>
              <w:t>环境</w:t>
            </w:r>
          </w:p>
          <w:p>
            <w:pPr>
              <w:adjustRightInd w:val="0"/>
              <w:snapToGrid w:val="0"/>
              <w:jc w:val="center"/>
              <w:rPr>
                <w:b/>
                <w:bCs/>
                <w:kern w:val="0"/>
                <w:sz w:val="24"/>
              </w:rPr>
            </w:pPr>
            <w:r>
              <w:rPr>
                <w:b/>
                <w:bCs/>
                <w:kern w:val="0"/>
                <w:sz w:val="24"/>
              </w:rPr>
              <w:t>质量</w:t>
            </w:r>
          </w:p>
          <w:p>
            <w:pPr>
              <w:adjustRightInd w:val="0"/>
              <w:snapToGrid w:val="0"/>
              <w:jc w:val="center"/>
              <w:rPr>
                <w:kern w:val="0"/>
                <w:szCs w:val="21"/>
              </w:rPr>
            </w:pPr>
            <w:r>
              <w:rPr>
                <w:b/>
                <w:bCs/>
                <w:kern w:val="0"/>
                <w:sz w:val="24"/>
              </w:rPr>
              <w:t>现状</w:t>
            </w:r>
          </w:p>
        </w:tc>
        <w:tc>
          <w:tcPr>
            <w:tcW w:w="8393" w:type="dxa"/>
            <w:vAlign w:val="center"/>
          </w:tcPr>
          <w:p>
            <w:pPr>
              <w:spacing w:line="360" w:lineRule="auto"/>
              <w:rPr>
                <w:rFonts w:ascii="黑体" w:hAnsi="黑体" w:eastAsia="黑体"/>
                <w:b/>
                <w:bCs/>
                <w:kern w:val="0"/>
                <w:sz w:val="24"/>
              </w:rPr>
            </w:pPr>
            <w:r>
              <w:rPr>
                <w:rFonts w:hint="eastAsia" w:ascii="黑体" w:hAnsi="黑体" w:eastAsia="黑体"/>
                <w:b/>
                <w:bCs/>
                <w:kern w:val="0"/>
                <w:sz w:val="24"/>
              </w:rPr>
              <w:t>（一）</w:t>
            </w:r>
            <w:r>
              <w:rPr>
                <w:rFonts w:ascii="黑体" w:hAnsi="黑体" w:eastAsia="黑体"/>
                <w:b/>
                <w:bCs/>
                <w:kern w:val="0"/>
                <w:sz w:val="24"/>
              </w:rPr>
              <w:t>环境空气质量现状</w:t>
            </w:r>
          </w:p>
          <w:p>
            <w:pPr>
              <w:pStyle w:val="43"/>
              <w:ind w:firstLine="0" w:firstLineChars="0"/>
              <w:jc w:val="both"/>
              <w:rPr>
                <w:rFonts w:ascii="Times New Roman" w:hAnsi="Times New Roman"/>
                <w:b/>
                <w:bCs/>
              </w:rPr>
            </w:pPr>
            <w:bookmarkStart w:id="35" w:name="_Hlk116632738"/>
            <w:r>
              <w:rPr>
                <w:rFonts w:hint="eastAsia" w:ascii="Times New Roman" w:hAnsi="Times New Roman"/>
                <w:b/>
                <w:bCs/>
              </w:rPr>
              <w:t>1、区域环境空气质量标准</w:t>
            </w:r>
          </w:p>
          <w:p>
            <w:pPr>
              <w:pStyle w:val="4"/>
              <w:adjustRightInd w:val="0"/>
              <w:snapToGrid w:val="0"/>
              <w:spacing w:line="360" w:lineRule="auto"/>
              <w:ind w:firstLine="480" w:firstLineChars="200"/>
              <w:jc w:val="both"/>
              <w:textAlignment w:val="baseline"/>
              <w:rPr>
                <w:sz w:val="24"/>
                <w:szCs w:val="24"/>
              </w:rPr>
            </w:pPr>
            <w:bookmarkStart w:id="36" w:name="_Hlk138770244"/>
            <w:bookmarkStart w:id="37" w:name="_Hlk138875847"/>
            <w:r>
              <w:rPr>
                <w:rFonts w:hint="eastAsia"/>
                <w:sz w:val="24"/>
              </w:rPr>
              <w:t>项目选址位于维西傈僳族自治县白济汛乡下笼嘎组</w:t>
            </w:r>
            <w:r>
              <w:rPr>
                <w:rFonts w:hint="eastAsia"/>
                <w:sz w:val="24"/>
                <w:szCs w:val="24"/>
              </w:rPr>
              <w:t>，属环境空气二类区，执行《环境空气质量标准》（GB 3095-2012）二级标准</w:t>
            </w:r>
            <w:bookmarkEnd w:id="35"/>
            <w:r>
              <w:rPr>
                <w:rFonts w:hint="eastAsia"/>
                <w:sz w:val="24"/>
                <w:szCs w:val="24"/>
              </w:rPr>
              <w:t>，标准限值如下：</w:t>
            </w:r>
          </w:p>
          <w:bookmarkEnd w:id="36"/>
          <w:p>
            <w:pPr>
              <w:pStyle w:val="4"/>
              <w:adjustRightInd w:val="0"/>
              <w:snapToGrid w:val="0"/>
              <w:jc w:val="center"/>
              <w:textAlignment w:val="baseline"/>
              <w:rPr>
                <w:b/>
                <w:sz w:val="24"/>
                <w:szCs w:val="24"/>
              </w:rPr>
            </w:pPr>
            <w:r>
              <w:rPr>
                <w:b/>
                <w:sz w:val="24"/>
                <w:szCs w:val="24"/>
              </w:rPr>
              <w:t>表3.1-1  环境空气质量标准</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0"/>
              <w:gridCol w:w="1630"/>
              <w:gridCol w:w="1347"/>
              <w:gridCol w:w="1061"/>
              <w:gridCol w:w="1131"/>
              <w:gridCol w:w="2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4" w:type="pct"/>
                  <w:vMerge w:val="restart"/>
                  <w:vAlign w:val="center"/>
                </w:tcPr>
                <w:p>
                  <w:pPr>
                    <w:adjustRightInd w:val="0"/>
                    <w:snapToGrid w:val="0"/>
                    <w:jc w:val="center"/>
                    <w:rPr>
                      <w:b/>
                      <w:bCs/>
                      <w:szCs w:val="21"/>
                    </w:rPr>
                  </w:pPr>
                  <w:bookmarkStart w:id="38" w:name="_Hlk138770276"/>
                  <w:r>
                    <w:rPr>
                      <w:b/>
                      <w:bCs/>
                      <w:szCs w:val="21"/>
                    </w:rPr>
                    <w:t>污染物类别</w:t>
                  </w:r>
                </w:p>
              </w:tc>
              <w:tc>
                <w:tcPr>
                  <w:tcW w:w="1045" w:type="pct"/>
                  <w:vMerge w:val="restart"/>
                  <w:vAlign w:val="center"/>
                </w:tcPr>
                <w:p>
                  <w:pPr>
                    <w:adjustRightInd w:val="0"/>
                    <w:snapToGrid w:val="0"/>
                    <w:jc w:val="center"/>
                    <w:rPr>
                      <w:b/>
                      <w:bCs/>
                      <w:szCs w:val="21"/>
                    </w:rPr>
                  </w:pPr>
                  <w:r>
                    <w:rPr>
                      <w:b/>
                      <w:bCs/>
                      <w:szCs w:val="21"/>
                    </w:rPr>
                    <w:t>污染物</w:t>
                  </w:r>
                </w:p>
              </w:tc>
              <w:tc>
                <w:tcPr>
                  <w:tcW w:w="871" w:type="pct"/>
                  <w:vMerge w:val="restart"/>
                  <w:vAlign w:val="center"/>
                </w:tcPr>
                <w:p>
                  <w:pPr>
                    <w:adjustRightInd w:val="0"/>
                    <w:snapToGrid w:val="0"/>
                    <w:jc w:val="center"/>
                    <w:rPr>
                      <w:b/>
                      <w:bCs/>
                      <w:szCs w:val="21"/>
                    </w:rPr>
                  </w:pPr>
                  <w:r>
                    <w:rPr>
                      <w:b/>
                      <w:bCs/>
                      <w:szCs w:val="21"/>
                    </w:rPr>
                    <w:t>平均时间</w:t>
                  </w:r>
                </w:p>
              </w:tc>
              <w:tc>
                <w:tcPr>
                  <w:tcW w:w="696" w:type="pct"/>
                  <w:vAlign w:val="center"/>
                </w:tcPr>
                <w:p>
                  <w:pPr>
                    <w:adjustRightInd w:val="0"/>
                    <w:snapToGrid w:val="0"/>
                    <w:jc w:val="center"/>
                    <w:rPr>
                      <w:b/>
                      <w:bCs/>
                      <w:szCs w:val="21"/>
                    </w:rPr>
                  </w:pPr>
                  <w:r>
                    <w:rPr>
                      <w:b/>
                      <w:bCs/>
                      <w:szCs w:val="21"/>
                    </w:rPr>
                    <w:t>浓度限值</w:t>
                  </w:r>
                </w:p>
              </w:tc>
              <w:tc>
                <w:tcPr>
                  <w:tcW w:w="739" w:type="pct"/>
                  <w:vMerge w:val="restart"/>
                  <w:vAlign w:val="center"/>
                </w:tcPr>
                <w:p>
                  <w:pPr>
                    <w:adjustRightInd w:val="0"/>
                    <w:snapToGrid w:val="0"/>
                    <w:jc w:val="center"/>
                    <w:rPr>
                      <w:b/>
                      <w:bCs/>
                      <w:szCs w:val="21"/>
                    </w:rPr>
                  </w:pPr>
                  <w:r>
                    <w:rPr>
                      <w:b/>
                      <w:bCs/>
                      <w:szCs w:val="21"/>
                    </w:rPr>
                    <w:t>单位</w:t>
                  </w:r>
                </w:p>
              </w:tc>
              <w:tc>
                <w:tcPr>
                  <w:tcW w:w="1045" w:type="pct"/>
                  <w:vMerge w:val="restart"/>
                  <w:vAlign w:val="center"/>
                </w:tcPr>
                <w:p>
                  <w:pPr>
                    <w:adjustRightInd w:val="0"/>
                    <w:snapToGrid w:val="0"/>
                    <w:jc w:val="center"/>
                    <w:rPr>
                      <w:b/>
                      <w:bCs/>
                      <w:szCs w:val="21"/>
                    </w:rPr>
                  </w:pPr>
                  <w:r>
                    <w:rPr>
                      <w:b/>
                      <w:bCs/>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4" w:type="pct"/>
                  <w:vMerge w:val="continue"/>
                  <w:vAlign w:val="center"/>
                </w:tcPr>
                <w:p>
                  <w:pPr>
                    <w:widowControl/>
                    <w:jc w:val="center"/>
                    <w:rPr>
                      <w:szCs w:val="21"/>
                    </w:rPr>
                  </w:pPr>
                </w:p>
              </w:tc>
              <w:tc>
                <w:tcPr>
                  <w:tcW w:w="1045" w:type="pct"/>
                  <w:vMerge w:val="continue"/>
                  <w:vAlign w:val="center"/>
                </w:tcPr>
                <w:p>
                  <w:pPr>
                    <w:widowControl/>
                    <w:jc w:val="center"/>
                    <w:rPr>
                      <w:szCs w:val="21"/>
                    </w:rPr>
                  </w:pPr>
                </w:p>
              </w:tc>
              <w:tc>
                <w:tcPr>
                  <w:tcW w:w="871" w:type="pct"/>
                  <w:vMerge w:val="continue"/>
                  <w:vAlign w:val="center"/>
                </w:tcPr>
                <w:p>
                  <w:pPr>
                    <w:widowControl/>
                    <w:jc w:val="center"/>
                    <w:rPr>
                      <w:szCs w:val="21"/>
                    </w:rPr>
                  </w:pPr>
                </w:p>
              </w:tc>
              <w:tc>
                <w:tcPr>
                  <w:tcW w:w="696" w:type="pct"/>
                  <w:vAlign w:val="center"/>
                </w:tcPr>
                <w:p>
                  <w:pPr>
                    <w:adjustRightInd w:val="0"/>
                    <w:snapToGrid w:val="0"/>
                    <w:jc w:val="center"/>
                    <w:rPr>
                      <w:b/>
                      <w:szCs w:val="21"/>
                    </w:rPr>
                  </w:pPr>
                  <w:r>
                    <w:rPr>
                      <w:b/>
                      <w:szCs w:val="21"/>
                    </w:rPr>
                    <w:t>二级标准</w:t>
                  </w:r>
                </w:p>
              </w:tc>
              <w:tc>
                <w:tcPr>
                  <w:tcW w:w="739" w:type="pct"/>
                  <w:vMerge w:val="continue"/>
                  <w:vAlign w:val="center"/>
                </w:tcPr>
                <w:p>
                  <w:pPr>
                    <w:widowControl/>
                    <w:jc w:val="center"/>
                    <w:rPr>
                      <w:szCs w:val="21"/>
                    </w:rPr>
                  </w:pPr>
                </w:p>
              </w:tc>
              <w:tc>
                <w:tcPr>
                  <w:tcW w:w="1045" w:type="pct"/>
                  <w:vMerge w:val="continue"/>
                  <w:vAlign w:val="center"/>
                </w:tcPr>
                <w:p>
                  <w:pPr>
                    <w:widowControl/>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4" w:type="pct"/>
                  <w:vMerge w:val="restart"/>
                  <w:vAlign w:val="center"/>
                </w:tcPr>
                <w:p>
                  <w:pPr>
                    <w:adjustRightInd w:val="0"/>
                    <w:snapToGrid w:val="0"/>
                    <w:jc w:val="center"/>
                    <w:rPr>
                      <w:szCs w:val="21"/>
                    </w:rPr>
                  </w:pPr>
                  <w:r>
                    <w:rPr>
                      <w:szCs w:val="21"/>
                    </w:rPr>
                    <w:t>环境空气污染物基本项目</w:t>
                  </w:r>
                </w:p>
              </w:tc>
              <w:tc>
                <w:tcPr>
                  <w:tcW w:w="1045" w:type="pct"/>
                  <w:vMerge w:val="restart"/>
                  <w:vAlign w:val="center"/>
                </w:tcPr>
                <w:p>
                  <w:pPr>
                    <w:adjustRightInd w:val="0"/>
                    <w:snapToGrid w:val="0"/>
                    <w:jc w:val="center"/>
                    <w:rPr>
                      <w:szCs w:val="21"/>
                    </w:rPr>
                  </w:pPr>
                  <w:r>
                    <w:rPr>
                      <w:szCs w:val="21"/>
                    </w:rPr>
                    <w:t>二氧化硫（SO</w:t>
                  </w:r>
                  <w:r>
                    <w:rPr>
                      <w:szCs w:val="21"/>
                      <w:vertAlign w:val="subscript"/>
                    </w:rPr>
                    <w:t>2</w:t>
                  </w:r>
                  <w:r>
                    <w:rPr>
                      <w:szCs w:val="21"/>
                    </w:rPr>
                    <w:t>）</w:t>
                  </w:r>
                </w:p>
              </w:tc>
              <w:tc>
                <w:tcPr>
                  <w:tcW w:w="871" w:type="pct"/>
                  <w:vAlign w:val="center"/>
                </w:tcPr>
                <w:p>
                  <w:pPr>
                    <w:adjustRightInd w:val="0"/>
                    <w:snapToGrid w:val="0"/>
                    <w:jc w:val="center"/>
                    <w:rPr>
                      <w:szCs w:val="21"/>
                    </w:rPr>
                  </w:pPr>
                  <w:r>
                    <w:rPr>
                      <w:szCs w:val="21"/>
                    </w:rPr>
                    <w:t>年平均</w:t>
                  </w:r>
                </w:p>
              </w:tc>
              <w:tc>
                <w:tcPr>
                  <w:tcW w:w="696" w:type="pct"/>
                  <w:vAlign w:val="center"/>
                </w:tcPr>
                <w:p>
                  <w:pPr>
                    <w:adjustRightInd w:val="0"/>
                    <w:snapToGrid w:val="0"/>
                    <w:jc w:val="center"/>
                    <w:rPr>
                      <w:szCs w:val="21"/>
                    </w:rPr>
                  </w:pPr>
                  <w:r>
                    <w:rPr>
                      <w:szCs w:val="21"/>
                    </w:rPr>
                    <w:t>60</w:t>
                  </w:r>
                </w:p>
              </w:tc>
              <w:tc>
                <w:tcPr>
                  <w:tcW w:w="739" w:type="pct"/>
                  <w:vMerge w:val="restart"/>
                  <w:vAlign w:val="center"/>
                </w:tcPr>
                <w:p>
                  <w:pPr>
                    <w:adjustRightInd w:val="0"/>
                    <w:snapToGrid w:val="0"/>
                    <w:jc w:val="center"/>
                    <w:rPr>
                      <w:szCs w:val="21"/>
                    </w:rPr>
                  </w:pPr>
                  <w:r>
                    <w:rPr>
                      <w:szCs w:val="21"/>
                    </w:rPr>
                    <w:t>μg/m</w:t>
                  </w:r>
                  <w:r>
                    <w:rPr>
                      <w:szCs w:val="21"/>
                      <w:vertAlign w:val="superscript"/>
                    </w:rPr>
                    <w:t>3</w:t>
                  </w:r>
                </w:p>
              </w:tc>
              <w:tc>
                <w:tcPr>
                  <w:tcW w:w="1045" w:type="pct"/>
                  <w:vMerge w:val="restart"/>
                  <w:vAlign w:val="center"/>
                </w:tcPr>
                <w:p>
                  <w:pPr>
                    <w:adjustRightInd w:val="0"/>
                    <w:snapToGrid w:val="0"/>
                    <w:rPr>
                      <w:szCs w:val="21"/>
                    </w:rPr>
                  </w:pPr>
                  <w:r>
                    <w:rPr>
                      <w:szCs w:val="21"/>
                    </w:rPr>
                    <w:t>《环境空气质量标准》（GB3095-2012）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4" w:type="pct"/>
                  <w:vMerge w:val="continue"/>
                  <w:vAlign w:val="center"/>
                </w:tcPr>
                <w:p>
                  <w:pPr>
                    <w:widowControl/>
                    <w:jc w:val="center"/>
                    <w:rPr>
                      <w:szCs w:val="21"/>
                    </w:rPr>
                  </w:pPr>
                </w:p>
              </w:tc>
              <w:tc>
                <w:tcPr>
                  <w:tcW w:w="1045" w:type="pct"/>
                  <w:vMerge w:val="continue"/>
                  <w:vAlign w:val="center"/>
                </w:tcPr>
                <w:p>
                  <w:pPr>
                    <w:widowControl/>
                    <w:jc w:val="center"/>
                    <w:rPr>
                      <w:szCs w:val="21"/>
                    </w:rPr>
                  </w:pPr>
                </w:p>
              </w:tc>
              <w:tc>
                <w:tcPr>
                  <w:tcW w:w="871" w:type="pct"/>
                  <w:vAlign w:val="center"/>
                </w:tcPr>
                <w:p>
                  <w:pPr>
                    <w:adjustRightInd w:val="0"/>
                    <w:snapToGrid w:val="0"/>
                    <w:jc w:val="center"/>
                    <w:rPr>
                      <w:szCs w:val="21"/>
                    </w:rPr>
                  </w:pPr>
                  <w:r>
                    <w:rPr>
                      <w:szCs w:val="21"/>
                    </w:rPr>
                    <w:t>24小时平均</w:t>
                  </w:r>
                </w:p>
              </w:tc>
              <w:tc>
                <w:tcPr>
                  <w:tcW w:w="696" w:type="pct"/>
                  <w:vAlign w:val="center"/>
                </w:tcPr>
                <w:p>
                  <w:pPr>
                    <w:adjustRightInd w:val="0"/>
                    <w:snapToGrid w:val="0"/>
                    <w:jc w:val="center"/>
                    <w:rPr>
                      <w:szCs w:val="21"/>
                    </w:rPr>
                  </w:pPr>
                  <w:r>
                    <w:rPr>
                      <w:szCs w:val="21"/>
                    </w:rPr>
                    <w:t>150</w:t>
                  </w:r>
                </w:p>
              </w:tc>
              <w:tc>
                <w:tcPr>
                  <w:tcW w:w="739" w:type="pct"/>
                  <w:vMerge w:val="continue"/>
                  <w:vAlign w:val="center"/>
                </w:tcPr>
                <w:p>
                  <w:pPr>
                    <w:widowControl/>
                    <w:jc w:val="center"/>
                    <w:rPr>
                      <w:szCs w:val="21"/>
                    </w:rPr>
                  </w:pPr>
                </w:p>
              </w:tc>
              <w:tc>
                <w:tcPr>
                  <w:tcW w:w="1045" w:type="pct"/>
                  <w:vMerge w:val="continue"/>
                  <w:vAlign w:val="center"/>
                </w:tcPr>
                <w:p>
                  <w:pPr>
                    <w:widowControl/>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4" w:type="pct"/>
                  <w:vMerge w:val="continue"/>
                  <w:vAlign w:val="center"/>
                </w:tcPr>
                <w:p>
                  <w:pPr>
                    <w:widowControl/>
                    <w:jc w:val="center"/>
                    <w:rPr>
                      <w:szCs w:val="21"/>
                    </w:rPr>
                  </w:pPr>
                </w:p>
              </w:tc>
              <w:tc>
                <w:tcPr>
                  <w:tcW w:w="1045" w:type="pct"/>
                  <w:vMerge w:val="continue"/>
                  <w:vAlign w:val="center"/>
                </w:tcPr>
                <w:p>
                  <w:pPr>
                    <w:widowControl/>
                    <w:jc w:val="center"/>
                    <w:rPr>
                      <w:szCs w:val="21"/>
                    </w:rPr>
                  </w:pPr>
                </w:p>
              </w:tc>
              <w:tc>
                <w:tcPr>
                  <w:tcW w:w="871" w:type="pct"/>
                  <w:vAlign w:val="center"/>
                </w:tcPr>
                <w:p>
                  <w:pPr>
                    <w:adjustRightInd w:val="0"/>
                    <w:snapToGrid w:val="0"/>
                    <w:jc w:val="center"/>
                    <w:rPr>
                      <w:szCs w:val="21"/>
                    </w:rPr>
                  </w:pPr>
                  <w:r>
                    <w:rPr>
                      <w:szCs w:val="21"/>
                    </w:rPr>
                    <w:t>1小时平均</w:t>
                  </w:r>
                </w:p>
              </w:tc>
              <w:tc>
                <w:tcPr>
                  <w:tcW w:w="696" w:type="pct"/>
                  <w:vAlign w:val="center"/>
                </w:tcPr>
                <w:p>
                  <w:pPr>
                    <w:adjustRightInd w:val="0"/>
                    <w:snapToGrid w:val="0"/>
                    <w:jc w:val="center"/>
                    <w:rPr>
                      <w:szCs w:val="21"/>
                    </w:rPr>
                  </w:pPr>
                  <w:r>
                    <w:rPr>
                      <w:szCs w:val="21"/>
                    </w:rPr>
                    <w:t>500</w:t>
                  </w:r>
                </w:p>
              </w:tc>
              <w:tc>
                <w:tcPr>
                  <w:tcW w:w="739" w:type="pct"/>
                  <w:vMerge w:val="continue"/>
                  <w:vAlign w:val="center"/>
                </w:tcPr>
                <w:p>
                  <w:pPr>
                    <w:widowControl/>
                    <w:jc w:val="center"/>
                    <w:rPr>
                      <w:szCs w:val="21"/>
                    </w:rPr>
                  </w:pPr>
                </w:p>
              </w:tc>
              <w:tc>
                <w:tcPr>
                  <w:tcW w:w="1045" w:type="pct"/>
                  <w:vMerge w:val="continue"/>
                  <w:vAlign w:val="center"/>
                </w:tcPr>
                <w:p>
                  <w:pPr>
                    <w:widowControl/>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4" w:type="pct"/>
                  <w:vMerge w:val="continue"/>
                  <w:vAlign w:val="center"/>
                </w:tcPr>
                <w:p>
                  <w:pPr>
                    <w:widowControl/>
                    <w:jc w:val="center"/>
                    <w:rPr>
                      <w:szCs w:val="21"/>
                    </w:rPr>
                  </w:pPr>
                </w:p>
              </w:tc>
              <w:tc>
                <w:tcPr>
                  <w:tcW w:w="1045" w:type="pct"/>
                  <w:vMerge w:val="restart"/>
                  <w:vAlign w:val="center"/>
                </w:tcPr>
                <w:p>
                  <w:pPr>
                    <w:adjustRightInd w:val="0"/>
                    <w:snapToGrid w:val="0"/>
                    <w:jc w:val="center"/>
                    <w:rPr>
                      <w:szCs w:val="21"/>
                    </w:rPr>
                  </w:pPr>
                  <w:r>
                    <w:rPr>
                      <w:szCs w:val="21"/>
                    </w:rPr>
                    <w:t>二氧化氮（NO</w:t>
                  </w:r>
                  <w:r>
                    <w:rPr>
                      <w:szCs w:val="21"/>
                      <w:vertAlign w:val="subscript"/>
                    </w:rPr>
                    <w:t>2</w:t>
                  </w:r>
                  <w:r>
                    <w:rPr>
                      <w:szCs w:val="21"/>
                    </w:rPr>
                    <w:t>）</w:t>
                  </w:r>
                </w:p>
              </w:tc>
              <w:tc>
                <w:tcPr>
                  <w:tcW w:w="871" w:type="pct"/>
                  <w:vAlign w:val="center"/>
                </w:tcPr>
                <w:p>
                  <w:pPr>
                    <w:adjustRightInd w:val="0"/>
                    <w:snapToGrid w:val="0"/>
                    <w:jc w:val="center"/>
                    <w:rPr>
                      <w:szCs w:val="21"/>
                    </w:rPr>
                  </w:pPr>
                  <w:r>
                    <w:rPr>
                      <w:szCs w:val="21"/>
                    </w:rPr>
                    <w:t>年平均</w:t>
                  </w:r>
                </w:p>
              </w:tc>
              <w:tc>
                <w:tcPr>
                  <w:tcW w:w="696" w:type="pct"/>
                  <w:vAlign w:val="center"/>
                </w:tcPr>
                <w:p>
                  <w:pPr>
                    <w:adjustRightInd w:val="0"/>
                    <w:snapToGrid w:val="0"/>
                    <w:jc w:val="center"/>
                    <w:rPr>
                      <w:szCs w:val="21"/>
                    </w:rPr>
                  </w:pPr>
                  <w:r>
                    <w:rPr>
                      <w:szCs w:val="21"/>
                    </w:rPr>
                    <w:t>40</w:t>
                  </w:r>
                </w:p>
              </w:tc>
              <w:tc>
                <w:tcPr>
                  <w:tcW w:w="739" w:type="pct"/>
                  <w:vMerge w:val="continue"/>
                  <w:vAlign w:val="center"/>
                </w:tcPr>
                <w:p>
                  <w:pPr>
                    <w:widowControl/>
                    <w:jc w:val="center"/>
                    <w:rPr>
                      <w:szCs w:val="21"/>
                    </w:rPr>
                  </w:pPr>
                </w:p>
              </w:tc>
              <w:tc>
                <w:tcPr>
                  <w:tcW w:w="1045" w:type="pct"/>
                  <w:vMerge w:val="continue"/>
                  <w:vAlign w:val="center"/>
                </w:tcPr>
                <w:p>
                  <w:pPr>
                    <w:widowControl/>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4" w:type="pct"/>
                  <w:vMerge w:val="continue"/>
                  <w:vAlign w:val="center"/>
                </w:tcPr>
                <w:p>
                  <w:pPr>
                    <w:widowControl/>
                    <w:jc w:val="center"/>
                    <w:rPr>
                      <w:szCs w:val="21"/>
                    </w:rPr>
                  </w:pPr>
                </w:p>
              </w:tc>
              <w:tc>
                <w:tcPr>
                  <w:tcW w:w="1045" w:type="pct"/>
                  <w:vMerge w:val="continue"/>
                  <w:vAlign w:val="center"/>
                </w:tcPr>
                <w:p>
                  <w:pPr>
                    <w:widowControl/>
                    <w:jc w:val="center"/>
                    <w:rPr>
                      <w:szCs w:val="21"/>
                    </w:rPr>
                  </w:pPr>
                </w:p>
              </w:tc>
              <w:tc>
                <w:tcPr>
                  <w:tcW w:w="871" w:type="pct"/>
                  <w:vAlign w:val="center"/>
                </w:tcPr>
                <w:p>
                  <w:pPr>
                    <w:adjustRightInd w:val="0"/>
                    <w:snapToGrid w:val="0"/>
                    <w:jc w:val="center"/>
                    <w:rPr>
                      <w:szCs w:val="21"/>
                    </w:rPr>
                  </w:pPr>
                  <w:r>
                    <w:rPr>
                      <w:szCs w:val="21"/>
                    </w:rPr>
                    <w:t>24小时平均</w:t>
                  </w:r>
                </w:p>
              </w:tc>
              <w:tc>
                <w:tcPr>
                  <w:tcW w:w="696" w:type="pct"/>
                  <w:vAlign w:val="center"/>
                </w:tcPr>
                <w:p>
                  <w:pPr>
                    <w:adjustRightInd w:val="0"/>
                    <w:snapToGrid w:val="0"/>
                    <w:jc w:val="center"/>
                    <w:rPr>
                      <w:szCs w:val="21"/>
                    </w:rPr>
                  </w:pPr>
                  <w:r>
                    <w:rPr>
                      <w:szCs w:val="21"/>
                    </w:rPr>
                    <w:t>80</w:t>
                  </w:r>
                </w:p>
              </w:tc>
              <w:tc>
                <w:tcPr>
                  <w:tcW w:w="739" w:type="pct"/>
                  <w:vMerge w:val="continue"/>
                  <w:vAlign w:val="center"/>
                </w:tcPr>
                <w:p>
                  <w:pPr>
                    <w:widowControl/>
                    <w:jc w:val="center"/>
                    <w:rPr>
                      <w:szCs w:val="21"/>
                    </w:rPr>
                  </w:pPr>
                </w:p>
              </w:tc>
              <w:tc>
                <w:tcPr>
                  <w:tcW w:w="1045" w:type="pct"/>
                  <w:vMerge w:val="continue"/>
                  <w:vAlign w:val="center"/>
                </w:tcPr>
                <w:p>
                  <w:pPr>
                    <w:widowControl/>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4" w:type="pct"/>
                  <w:vMerge w:val="continue"/>
                  <w:vAlign w:val="center"/>
                </w:tcPr>
                <w:p>
                  <w:pPr>
                    <w:widowControl/>
                    <w:jc w:val="center"/>
                    <w:rPr>
                      <w:szCs w:val="21"/>
                    </w:rPr>
                  </w:pPr>
                </w:p>
              </w:tc>
              <w:tc>
                <w:tcPr>
                  <w:tcW w:w="1045" w:type="pct"/>
                  <w:vMerge w:val="continue"/>
                  <w:vAlign w:val="center"/>
                </w:tcPr>
                <w:p>
                  <w:pPr>
                    <w:widowControl/>
                    <w:jc w:val="center"/>
                    <w:rPr>
                      <w:szCs w:val="21"/>
                    </w:rPr>
                  </w:pPr>
                </w:p>
              </w:tc>
              <w:tc>
                <w:tcPr>
                  <w:tcW w:w="871" w:type="pct"/>
                  <w:vAlign w:val="center"/>
                </w:tcPr>
                <w:p>
                  <w:pPr>
                    <w:adjustRightInd w:val="0"/>
                    <w:snapToGrid w:val="0"/>
                    <w:jc w:val="center"/>
                    <w:rPr>
                      <w:szCs w:val="21"/>
                    </w:rPr>
                  </w:pPr>
                  <w:r>
                    <w:rPr>
                      <w:szCs w:val="21"/>
                    </w:rPr>
                    <w:t>1小时平均</w:t>
                  </w:r>
                </w:p>
              </w:tc>
              <w:tc>
                <w:tcPr>
                  <w:tcW w:w="696" w:type="pct"/>
                  <w:vAlign w:val="center"/>
                </w:tcPr>
                <w:p>
                  <w:pPr>
                    <w:adjustRightInd w:val="0"/>
                    <w:snapToGrid w:val="0"/>
                    <w:jc w:val="center"/>
                    <w:rPr>
                      <w:szCs w:val="21"/>
                    </w:rPr>
                  </w:pPr>
                  <w:r>
                    <w:rPr>
                      <w:szCs w:val="21"/>
                    </w:rPr>
                    <w:t>200</w:t>
                  </w:r>
                </w:p>
              </w:tc>
              <w:tc>
                <w:tcPr>
                  <w:tcW w:w="739" w:type="pct"/>
                  <w:vMerge w:val="continue"/>
                  <w:vAlign w:val="center"/>
                </w:tcPr>
                <w:p>
                  <w:pPr>
                    <w:widowControl/>
                    <w:jc w:val="center"/>
                    <w:rPr>
                      <w:szCs w:val="21"/>
                    </w:rPr>
                  </w:pPr>
                </w:p>
              </w:tc>
              <w:tc>
                <w:tcPr>
                  <w:tcW w:w="1045" w:type="pct"/>
                  <w:vMerge w:val="continue"/>
                  <w:vAlign w:val="center"/>
                </w:tcPr>
                <w:p>
                  <w:pPr>
                    <w:widowControl/>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4" w:type="pct"/>
                  <w:vMerge w:val="continue"/>
                  <w:vAlign w:val="center"/>
                </w:tcPr>
                <w:p>
                  <w:pPr>
                    <w:widowControl/>
                    <w:jc w:val="center"/>
                    <w:rPr>
                      <w:szCs w:val="21"/>
                    </w:rPr>
                  </w:pPr>
                </w:p>
              </w:tc>
              <w:tc>
                <w:tcPr>
                  <w:tcW w:w="1045" w:type="pct"/>
                  <w:vMerge w:val="restart"/>
                  <w:vAlign w:val="center"/>
                </w:tcPr>
                <w:p>
                  <w:pPr>
                    <w:adjustRightInd w:val="0"/>
                    <w:snapToGrid w:val="0"/>
                    <w:jc w:val="center"/>
                    <w:rPr>
                      <w:szCs w:val="21"/>
                    </w:rPr>
                  </w:pPr>
                  <w:r>
                    <w:rPr>
                      <w:szCs w:val="21"/>
                    </w:rPr>
                    <w:t>一氧化碳（CO）</w:t>
                  </w:r>
                </w:p>
              </w:tc>
              <w:tc>
                <w:tcPr>
                  <w:tcW w:w="871" w:type="pct"/>
                  <w:vAlign w:val="center"/>
                </w:tcPr>
                <w:p>
                  <w:pPr>
                    <w:adjustRightInd w:val="0"/>
                    <w:snapToGrid w:val="0"/>
                    <w:jc w:val="center"/>
                    <w:rPr>
                      <w:szCs w:val="21"/>
                    </w:rPr>
                  </w:pPr>
                  <w:r>
                    <w:rPr>
                      <w:szCs w:val="21"/>
                    </w:rPr>
                    <w:t>24小时平均</w:t>
                  </w:r>
                </w:p>
              </w:tc>
              <w:tc>
                <w:tcPr>
                  <w:tcW w:w="696" w:type="pct"/>
                  <w:vAlign w:val="center"/>
                </w:tcPr>
                <w:p>
                  <w:pPr>
                    <w:adjustRightInd w:val="0"/>
                    <w:snapToGrid w:val="0"/>
                    <w:jc w:val="center"/>
                    <w:rPr>
                      <w:szCs w:val="21"/>
                    </w:rPr>
                  </w:pPr>
                  <w:r>
                    <w:rPr>
                      <w:szCs w:val="21"/>
                    </w:rPr>
                    <w:t>4</w:t>
                  </w:r>
                </w:p>
              </w:tc>
              <w:tc>
                <w:tcPr>
                  <w:tcW w:w="739" w:type="pct"/>
                  <w:vMerge w:val="restart"/>
                  <w:vAlign w:val="center"/>
                </w:tcPr>
                <w:p>
                  <w:pPr>
                    <w:adjustRightInd w:val="0"/>
                    <w:snapToGrid w:val="0"/>
                    <w:jc w:val="center"/>
                    <w:rPr>
                      <w:szCs w:val="21"/>
                    </w:rPr>
                  </w:pPr>
                  <w:r>
                    <w:rPr>
                      <w:szCs w:val="21"/>
                    </w:rPr>
                    <w:t>mg/m³</w:t>
                  </w:r>
                </w:p>
              </w:tc>
              <w:tc>
                <w:tcPr>
                  <w:tcW w:w="1045" w:type="pct"/>
                  <w:vMerge w:val="continue"/>
                  <w:vAlign w:val="center"/>
                </w:tcPr>
                <w:p>
                  <w:pPr>
                    <w:widowControl/>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4" w:type="pct"/>
                  <w:vMerge w:val="continue"/>
                  <w:vAlign w:val="center"/>
                </w:tcPr>
                <w:p>
                  <w:pPr>
                    <w:widowControl/>
                    <w:jc w:val="center"/>
                    <w:rPr>
                      <w:szCs w:val="21"/>
                    </w:rPr>
                  </w:pPr>
                </w:p>
              </w:tc>
              <w:tc>
                <w:tcPr>
                  <w:tcW w:w="1045" w:type="pct"/>
                  <w:vMerge w:val="continue"/>
                  <w:vAlign w:val="center"/>
                </w:tcPr>
                <w:p>
                  <w:pPr>
                    <w:widowControl/>
                    <w:jc w:val="center"/>
                    <w:rPr>
                      <w:szCs w:val="21"/>
                    </w:rPr>
                  </w:pPr>
                </w:p>
              </w:tc>
              <w:tc>
                <w:tcPr>
                  <w:tcW w:w="871" w:type="pct"/>
                  <w:vAlign w:val="center"/>
                </w:tcPr>
                <w:p>
                  <w:pPr>
                    <w:adjustRightInd w:val="0"/>
                    <w:snapToGrid w:val="0"/>
                    <w:jc w:val="center"/>
                    <w:rPr>
                      <w:szCs w:val="21"/>
                    </w:rPr>
                  </w:pPr>
                  <w:r>
                    <w:rPr>
                      <w:szCs w:val="21"/>
                    </w:rPr>
                    <w:t>1小时平均</w:t>
                  </w:r>
                </w:p>
              </w:tc>
              <w:tc>
                <w:tcPr>
                  <w:tcW w:w="696" w:type="pct"/>
                  <w:vAlign w:val="center"/>
                </w:tcPr>
                <w:p>
                  <w:pPr>
                    <w:adjustRightInd w:val="0"/>
                    <w:snapToGrid w:val="0"/>
                    <w:jc w:val="center"/>
                    <w:rPr>
                      <w:szCs w:val="21"/>
                    </w:rPr>
                  </w:pPr>
                  <w:r>
                    <w:rPr>
                      <w:szCs w:val="21"/>
                    </w:rPr>
                    <w:t>10</w:t>
                  </w:r>
                </w:p>
              </w:tc>
              <w:tc>
                <w:tcPr>
                  <w:tcW w:w="739" w:type="pct"/>
                  <w:vMerge w:val="continue"/>
                  <w:vAlign w:val="center"/>
                </w:tcPr>
                <w:p>
                  <w:pPr>
                    <w:widowControl/>
                    <w:jc w:val="center"/>
                    <w:rPr>
                      <w:szCs w:val="21"/>
                    </w:rPr>
                  </w:pPr>
                </w:p>
              </w:tc>
              <w:tc>
                <w:tcPr>
                  <w:tcW w:w="1045" w:type="pct"/>
                  <w:vMerge w:val="continue"/>
                  <w:vAlign w:val="center"/>
                </w:tcPr>
                <w:p>
                  <w:pPr>
                    <w:widowControl/>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4" w:type="pct"/>
                  <w:vMerge w:val="continue"/>
                  <w:vAlign w:val="center"/>
                </w:tcPr>
                <w:p>
                  <w:pPr>
                    <w:widowControl/>
                    <w:jc w:val="center"/>
                    <w:rPr>
                      <w:szCs w:val="21"/>
                    </w:rPr>
                  </w:pPr>
                </w:p>
              </w:tc>
              <w:tc>
                <w:tcPr>
                  <w:tcW w:w="1045" w:type="pct"/>
                  <w:vMerge w:val="restart"/>
                  <w:vAlign w:val="center"/>
                </w:tcPr>
                <w:p>
                  <w:pPr>
                    <w:adjustRightInd w:val="0"/>
                    <w:snapToGrid w:val="0"/>
                    <w:jc w:val="center"/>
                    <w:rPr>
                      <w:szCs w:val="21"/>
                    </w:rPr>
                  </w:pPr>
                  <w:r>
                    <w:rPr>
                      <w:szCs w:val="21"/>
                    </w:rPr>
                    <w:t>颗粒物（粒径小于等于10μm）</w:t>
                  </w:r>
                </w:p>
              </w:tc>
              <w:tc>
                <w:tcPr>
                  <w:tcW w:w="871" w:type="pct"/>
                  <w:vAlign w:val="center"/>
                </w:tcPr>
                <w:p>
                  <w:pPr>
                    <w:adjustRightInd w:val="0"/>
                    <w:snapToGrid w:val="0"/>
                    <w:jc w:val="center"/>
                    <w:rPr>
                      <w:szCs w:val="21"/>
                    </w:rPr>
                  </w:pPr>
                  <w:r>
                    <w:rPr>
                      <w:szCs w:val="21"/>
                    </w:rPr>
                    <w:t>年平均</w:t>
                  </w:r>
                </w:p>
              </w:tc>
              <w:tc>
                <w:tcPr>
                  <w:tcW w:w="696" w:type="pct"/>
                  <w:vAlign w:val="center"/>
                </w:tcPr>
                <w:p>
                  <w:pPr>
                    <w:adjustRightInd w:val="0"/>
                    <w:snapToGrid w:val="0"/>
                    <w:jc w:val="center"/>
                    <w:rPr>
                      <w:szCs w:val="21"/>
                    </w:rPr>
                  </w:pPr>
                  <w:r>
                    <w:rPr>
                      <w:szCs w:val="21"/>
                    </w:rPr>
                    <w:t>70</w:t>
                  </w:r>
                </w:p>
              </w:tc>
              <w:tc>
                <w:tcPr>
                  <w:tcW w:w="739" w:type="pct"/>
                  <w:vMerge w:val="restart"/>
                  <w:vAlign w:val="center"/>
                </w:tcPr>
                <w:p>
                  <w:pPr>
                    <w:adjustRightInd w:val="0"/>
                    <w:snapToGrid w:val="0"/>
                    <w:jc w:val="center"/>
                    <w:rPr>
                      <w:szCs w:val="21"/>
                    </w:rPr>
                  </w:pPr>
                  <w:r>
                    <w:rPr>
                      <w:szCs w:val="21"/>
                    </w:rPr>
                    <w:t>μg/m</w:t>
                  </w:r>
                  <w:r>
                    <w:rPr>
                      <w:szCs w:val="21"/>
                      <w:vertAlign w:val="superscript"/>
                    </w:rPr>
                    <w:t>3</w:t>
                  </w:r>
                </w:p>
              </w:tc>
              <w:tc>
                <w:tcPr>
                  <w:tcW w:w="1045" w:type="pct"/>
                  <w:vMerge w:val="continue"/>
                  <w:vAlign w:val="center"/>
                </w:tcPr>
                <w:p>
                  <w:pPr>
                    <w:widowControl/>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4" w:type="pct"/>
                  <w:vMerge w:val="continue"/>
                  <w:vAlign w:val="center"/>
                </w:tcPr>
                <w:p>
                  <w:pPr>
                    <w:widowControl/>
                    <w:jc w:val="center"/>
                    <w:rPr>
                      <w:szCs w:val="21"/>
                    </w:rPr>
                  </w:pPr>
                </w:p>
              </w:tc>
              <w:tc>
                <w:tcPr>
                  <w:tcW w:w="1045" w:type="pct"/>
                  <w:vMerge w:val="continue"/>
                  <w:vAlign w:val="center"/>
                </w:tcPr>
                <w:p>
                  <w:pPr>
                    <w:widowControl/>
                    <w:jc w:val="center"/>
                    <w:rPr>
                      <w:szCs w:val="21"/>
                    </w:rPr>
                  </w:pPr>
                </w:p>
              </w:tc>
              <w:tc>
                <w:tcPr>
                  <w:tcW w:w="871" w:type="pct"/>
                  <w:vAlign w:val="center"/>
                </w:tcPr>
                <w:p>
                  <w:pPr>
                    <w:adjustRightInd w:val="0"/>
                    <w:snapToGrid w:val="0"/>
                    <w:jc w:val="center"/>
                    <w:rPr>
                      <w:szCs w:val="21"/>
                    </w:rPr>
                  </w:pPr>
                  <w:r>
                    <w:rPr>
                      <w:szCs w:val="21"/>
                    </w:rPr>
                    <w:t>24小时平均</w:t>
                  </w:r>
                </w:p>
              </w:tc>
              <w:tc>
                <w:tcPr>
                  <w:tcW w:w="696" w:type="pct"/>
                  <w:vAlign w:val="center"/>
                </w:tcPr>
                <w:p>
                  <w:pPr>
                    <w:adjustRightInd w:val="0"/>
                    <w:snapToGrid w:val="0"/>
                    <w:jc w:val="center"/>
                    <w:rPr>
                      <w:szCs w:val="21"/>
                    </w:rPr>
                  </w:pPr>
                  <w:r>
                    <w:rPr>
                      <w:szCs w:val="21"/>
                    </w:rPr>
                    <w:t>150</w:t>
                  </w:r>
                </w:p>
              </w:tc>
              <w:tc>
                <w:tcPr>
                  <w:tcW w:w="739" w:type="pct"/>
                  <w:vMerge w:val="continue"/>
                  <w:vAlign w:val="center"/>
                </w:tcPr>
                <w:p>
                  <w:pPr>
                    <w:widowControl/>
                    <w:jc w:val="center"/>
                    <w:rPr>
                      <w:szCs w:val="21"/>
                    </w:rPr>
                  </w:pPr>
                </w:p>
              </w:tc>
              <w:tc>
                <w:tcPr>
                  <w:tcW w:w="1045" w:type="pct"/>
                  <w:vMerge w:val="continue"/>
                  <w:vAlign w:val="center"/>
                </w:tcPr>
                <w:p>
                  <w:pPr>
                    <w:widowControl/>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4" w:type="pct"/>
                  <w:vMerge w:val="continue"/>
                  <w:vAlign w:val="center"/>
                </w:tcPr>
                <w:p>
                  <w:pPr>
                    <w:widowControl/>
                    <w:jc w:val="center"/>
                    <w:rPr>
                      <w:szCs w:val="21"/>
                    </w:rPr>
                  </w:pPr>
                </w:p>
              </w:tc>
              <w:tc>
                <w:tcPr>
                  <w:tcW w:w="1045" w:type="pct"/>
                  <w:vMerge w:val="restart"/>
                  <w:vAlign w:val="center"/>
                </w:tcPr>
                <w:p>
                  <w:pPr>
                    <w:adjustRightInd w:val="0"/>
                    <w:snapToGrid w:val="0"/>
                    <w:jc w:val="center"/>
                    <w:rPr>
                      <w:szCs w:val="21"/>
                    </w:rPr>
                  </w:pPr>
                  <w:r>
                    <w:rPr>
                      <w:szCs w:val="21"/>
                    </w:rPr>
                    <w:t>颗粒物（粒径小于等于2.5μm）</w:t>
                  </w:r>
                </w:p>
              </w:tc>
              <w:tc>
                <w:tcPr>
                  <w:tcW w:w="871" w:type="pct"/>
                  <w:vAlign w:val="center"/>
                </w:tcPr>
                <w:p>
                  <w:pPr>
                    <w:adjustRightInd w:val="0"/>
                    <w:snapToGrid w:val="0"/>
                    <w:jc w:val="center"/>
                    <w:rPr>
                      <w:szCs w:val="21"/>
                    </w:rPr>
                  </w:pPr>
                  <w:r>
                    <w:rPr>
                      <w:szCs w:val="21"/>
                    </w:rPr>
                    <w:t>年平均</w:t>
                  </w:r>
                </w:p>
              </w:tc>
              <w:tc>
                <w:tcPr>
                  <w:tcW w:w="696" w:type="pct"/>
                  <w:vAlign w:val="center"/>
                </w:tcPr>
                <w:p>
                  <w:pPr>
                    <w:adjustRightInd w:val="0"/>
                    <w:snapToGrid w:val="0"/>
                    <w:jc w:val="center"/>
                    <w:rPr>
                      <w:szCs w:val="21"/>
                    </w:rPr>
                  </w:pPr>
                  <w:r>
                    <w:rPr>
                      <w:szCs w:val="21"/>
                    </w:rPr>
                    <w:t>35</w:t>
                  </w:r>
                </w:p>
              </w:tc>
              <w:tc>
                <w:tcPr>
                  <w:tcW w:w="739" w:type="pct"/>
                  <w:vMerge w:val="continue"/>
                  <w:vAlign w:val="center"/>
                </w:tcPr>
                <w:p>
                  <w:pPr>
                    <w:widowControl/>
                    <w:jc w:val="center"/>
                    <w:rPr>
                      <w:szCs w:val="21"/>
                    </w:rPr>
                  </w:pPr>
                </w:p>
              </w:tc>
              <w:tc>
                <w:tcPr>
                  <w:tcW w:w="1045" w:type="pct"/>
                  <w:vMerge w:val="continue"/>
                  <w:vAlign w:val="center"/>
                </w:tcPr>
                <w:p>
                  <w:pPr>
                    <w:widowControl/>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4" w:type="pct"/>
                  <w:vMerge w:val="continue"/>
                  <w:vAlign w:val="center"/>
                </w:tcPr>
                <w:p>
                  <w:pPr>
                    <w:widowControl/>
                    <w:jc w:val="center"/>
                    <w:rPr>
                      <w:szCs w:val="21"/>
                    </w:rPr>
                  </w:pPr>
                </w:p>
              </w:tc>
              <w:tc>
                <w:tcPr>
                  <w:tcW w:w="1045" w:type="pct"/>
                  <w:vMerge w:val="continue"/>
                  <w:vAlign w:val="center"/>
                </w:tcPr>
                <w:p>
                  <w:pPr>
                    <w:widowControl/>
                    <w:jc w:val="center"/>
                    <w:rPr>
                      <w:szCs w:val="21"/>
                    </w:rPr>
                  </w:pPr>
                </w:p>
              </w:tc>
              <w:tc>
                <w:tcPr>
                  <w:tcW w:w="871" w:type="pct"/>
                  <w:vAlign w:val="center"/>
                </w:tcPr>
                <w:p>
                  <w:pPr>
                    <w:adjustRightInd w:val="0"/>
                    <w:snapToGrid w:val="0"/>
                    <w:jc w:val="center"/>
                    <w:rPr>
                      <w:szCs w:val="21"/>
                    </w:rPr>
                  </w:pPr>
                  <w:r>
                    <w:rPr>
                      <w:szCs w:val="21"/>
                    </w:rPr>
                    <w:t>24小时平均</w:t>
                  </w:r>
                </w:p>
              </w:tc>
              <w:tc>
                <w:tcPr>
                  <w:tcW w:w="696" w:type="pct"/>
                  <w:vAlign w:val="center"/>
                </w:tcPr>
                <w:p>
                  <w:pPr>
                    <w:adjustRightInd w:val="0"/>
                    <w:snapToGrid w:val="0"/>
                    <w:jc w:val="center"/>
                    <w:rPr>
                      <w:szCs w:val="21"/>
                    </w:rPr>
                  </w:pPr>
                  <w:r>
                    <w:rPr>
                      <w:szCs w:val="21"/>
                    </w:rPr>
                    <w:t>75</w:t>
                  </w:r>
                </w:p>
              </w:tc>
              <w:tc>
                <w:tcPr>
                  <w:tcW w:w="739" w:type="pct"/>
                  <w:vMerge w:val="continue"/>
                  <w:vAlign w:val="center"/>
                </w:tcPr>
                <w:p>
                  <w:pPr>
                    <w:widowControl/>
                    <w:jc w:val="center"/>
                    <w:rPr>
                      <w:szCs w:val="21"/>
                    </w:rPr>
                  </w:pPr>
                </w:p>
              </w:tc>
              <w:tc>
                <w:tcPr>
                  <w:tcW w:w="1045" w:type="pct"/>
                  <w:vMerge w:val="continue"/>
                  <w:vAlign w:val="center"/>
                </w:tcPr>
                <w:p>
                  <w:pPr>
                    <w:widowControl/>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4" w:type="pct"/>
                  <w:vMerge w:val="continue"/>
                  <w:vAlign w:val="center"/>
                </w:tcPr>
                <w:p>
                  <w:pPr>
                    <w:widowControl/>
                    <w:jc w:val="center"/>
                    <w:rPr>
                      <w:szCs w:val="21"/>
                    </w:rPr>
                  </w:pPr>
                </w:p>
              </w:tc>
              <w:tc>
                <w:tcPr>
                  <w:tcW w:w="1045" w:type="pct"/>
                  <w:vMerge w:val="restart"/>
                  <w:vAlign w:val="center"/>
                </w:tcPr>
                <w:p>
                  <w:pPr>
                    <w:adjustRightInd w:val="0"/>
                    <w:snapToGrid w:val="0"/>
                    <w:jc w:val="center"/>
                    <w:rPr>
                      <w:szCs w:val="21"/>
                    </w:rPr>
                  </w:pPr>
                  <w:r>
                    <w:rPr>
                      <w:szCs w:val="21"/>
                    </w:rPr>
                    <w:t>臭氧（O</w:t>
                  </w:r>
                  <w:r>
                    <w:rPr>
                      <w:szCs w:val="21"/>
                      <w:vertAlign w:val="subscript"/>
                    </w:rPr>
                    <w:t>3</w:t>
                  </w:r>
                  <w:r>
                    <w:rPr>
                      <w:szCs w:val="21"/>
                    </w:rPr>
                    <w:t>）</w:t>
                  </w:r>
                </w:p>
              </w:tc>
              <w:tc>
                <w:tcPr>
                  <w:tcW w:w="871" w:type="pct"/>
                  <w:vAlign w:val="center"/>
                </w:tcPr>
                <w:p>
                  <w:pPr>
                    <w:adjustRightInd w:val="0"/>
                    <w:snapToGrid w:val="0"/>
                    <w:jc w:val="center"/>
                    <w:rPr>
                      <w:szCs w:val="21"/>
                    </w:rPr>
                  </w:pPr>
                  <w:r>
                    <w:rPr>
                      <w:szCs w:val="21"/>
                    </w:rPr>
                    <w:t>8h平均</w:t>
                  </w:r>
                </w:p>
              </w:tc>
              <w:tc>
                <w:tcPr>
                  <w:tcW w:w="696" w:type="pct"/>
                  <w:vAlign w:val="center"/>
                </w:tcPr>
                <w:p>
                  <w:pPr>
                    <w:adjustRightInd w:val="0"/>
                    <w:snapToGrid w:val="0"/>
                    <w:jc w:val="center"/>
                    <w:rPr>
                      <w:szCs w:val="21"/>
                    </w:rPr>
                  </w:pPr>
                  <w:r>
                    <w:rPr>
                      <w:szCs w:val="21"/>
                    </w:rPr>
                    <w:t>160</w:t>
                  </w:r>
                </w:p>
              </w:tc>
              <w:tc>
                <w:tcPr>
                  <w:tcW w:w="739" w:type="pct"/>
                  <w:vMerge w:val="continue"/>
                  <w:vAlign w:val="center"/>
                </w:tcPr>
                <w:p>
                  <w:pPr>
                    <w:widowControl/>
                    <w:jc w:val="center"/>
                    <w:rPr>
                      <w:szCs w:val="21"/>
                    </w:rPr>
                  </w:pPr>
                </w:p>
              </w:tc>
              <w:tc>
                <w:tcPr>
                  <w:tcW w:w="1045" w:type="pct"/>
                  <w:vMerge w:val="continue"/>
                  <w:vAlign w:val="center"/>
                </w:tcPr>
                <w:p>
                  <w:pPr>
                    <w:widowControl/>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4" w:type="pct"/>
                  <w:vMerge w:val="continue"/>
                  <w:vAlign w:val="center"/>
                </w:tcPr>
                <w:p>
                  <w:pPr>
                    <w:widowControl/>
                    <w:jc w:val="center"/>
                    <w:rPr>
                      <w:szCs w:val="21"/>
                    </w:rPr>
                  </w:pPr>
                </w:p>
              </w:tc>
              <w:tc>
                <w:tcPr>
                  <w:tcW w:w="1045" w:type="pct"/>
                  <w:vMerge w:val="continue"/>
                  <w:vAlign w:val="center"/>
                </w:tcPr>
                <w:p>
                  <w:pPr>
                    <w:widowControl/>
                    <w:jc w:val="center"/>
                    <w:rPr>
                      <w:szCs w:val="21"/>
                    </w:rPr>
                  </w:pPr>
                </w:p>
              </w:tc>
              <w:tc>
                <w:tcPr>
                  <w:tcW w:w="871" w:type="pct"/>
                  <w:vAlign w:val="center"/>
                </w:tcPr>
                <w:p>
                  <w:pPr>
                    <w:adjustRightInd w:val="0"/>
                    <w:snapToGrid w:val="0"/>
                    <w:jc w:val="center"/>
                    <w:rPr>
                      <w:szCs w:val="21"/>
                    </w:rPr>
                  </w:pPr>
                  <w:r>
                    <w:rPr>
                      <w:szCs w:val="21"/>
                    </w:rPr>
                    <w:t>1小时平均</w:t>
                  </w:r>
                </w:p>
              </w:tc>
              <w:tc>
                <w:tcPr>
                  <w:tcW w:w="696" w:type="pct"/>
                  <w:vAlign w:val="center"/>
                </w:tcPr>
                <w:p>
                  <w:pPr>
                    <w:adjustRightInd w:val="0"/>
                    <w:snapToGrid w:val="0"/>
                    <w:jc w:val="center"/>
                    <w:rPr>
                      <w:szCs w:val="21"/>
                    </w:rPr>
                  </w:pPr>
                  <w:r>
                    <w:rPr>
                      <w:szCs w:val="21"/>
                    </w:rPr>
                    <w:t>200</w:t>
                  </w:r>
                </w:p>
              </w:tc>
              <w:tc>
                <w:tcPr>
                  <w:tcW w:w="739" w:type="pct"/>
                  <w:vMerge w:val="continue"/>
                  <w:vAlign w:val="center"/>
                </w:tcPr>
                <w:p>
                  <w:pPr>
                    <w:widowControl/>
                    <w:jc w:val="center"/>
                    <w:rPr>
                      <w:szCs w:val="21"/>
                    </w:rPr>
                  </w:pPr>
                </w:p>
              </w:tc>
              <w:tc>
                <w:tcPr>
                  <w:tcW w:w="1045" w:type="pct"/>
                  <w:vMerge w:val="continue"/>
                  <w:vAlign w:val="center"/>
                </w:tcPr>
                <w:p>
                  <w:pPr>
                    <w:widowControl/>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4" w:type="pct"/>
                  <w:vMerge w:val="restart"/>
                  <w:vAlign w:val="center"/>
                </w:tcPr>
                <w:p>
                  <w:pPr>
                    <w:adjustRightInd w:val="0"/>
                    <w:snapToGrid w:val="0"/>
                    <w:jc w:val="center"/>
                    <w:rPr>
                      <w:szCs w:val="21"/>
                    </w:rPr>
                  </w:pPr>
                  <w:r>
                    <w:rPr>
                      <w:szCs w:val="21"/>
                    </w:rPr>
                    <w:t>环境空气污染物其他项目</w:t>
                  </w:r>
                </w:p>
              </w:tc>
              <w:tc>
                <w:tcPr>
                  <w:tcW w:w="1045" w:type="pct"/>
                  <w:vMerge w:val="restart"/>
                  <w:vAlign w:val="center"/>
                </w:tcPr>
                <w:p>
                  <w:pPr>
                    <w:adjustRightInd w:val="0"/>
                    <w:snapToGrid w:val="0"/>
                    <w:jc w:val="center"/>
                    <w:rPr>
                      <w:szCs w:val="21"/>
                    </w:rPr>
                  </w:pPr>
                  <w:r>
                    <w:rPr>
                      <w:szCs w:val="21"/>
                    </w:rPr>
                    <w:t>总悬浮颗粒物（TSP）</w:t>
                  </w:r>
                </w:p>
              </w:tc>
              <w:tc>
                <w:tcPr>
                  <w:tcW w:w="871" w:type="pct"/>
                  <w:vAlign w:val="center"/>
                </w:tcPr>
                <w:p>
                  <w:pPr>
                    <w:adjustRightInd w:val="0"/>
                    <w:snapToGrid w:val="0"/>
                    <w:jc w:val="center"/>
                    <w:rPr>
                      <w:szCs w:val="21"/>
                    </w:rPr>
                  </w:pPr>
                  <w:r>
                    <w:rPr>
                      <w:szCs w:val="21"/>
                    </w:rPr>
                    <w:t>年平均</w:t>
                  </w:r>
                </w:p>
              </w:tc>
              <w:tc>
                <w:tcPr>
                  <w:tcW w:w="696" w:type="pct"/>
                  <w:vAlign w:val="center"/>
                </w:tcPr>
                <w:p>
                  <w:pPr>
                    <w:adjustRightInd w:val="0"/>
                    <w:snapToGrid w:val="0"/>
                    <w:jc w:val="center"/>
                    <w:rPr>
                      <w:szCs w:val="21"/>
                    </w:rPr>
                  </w:pPr>
                  <w:r>
                    <w:rPr>
                      <w:szCs w:val="21"/>
                    </w:rPr>
                    <w:t>200</w:t>
                  </w:r>
                </w:p>
              </w:tc>
              <w:tc>
                <w:tcPr>
                  <w:tcW w:w="739" w:type="pct"/>
                  <w:vMerge w:val="continue"/>
                  <w:vAlign w:val="center"/>
                </w:tcPr>
                <w:p>
                  <w:pPr>
                    <w:widowControl/>
                    <w:jc w:val="center"/>
                    <w:rPr>
                      <w:szCs w:val="21"/>
                    </w:rPr>
                  </w:pPr>
                </w:p>
              </w:tc>
              <w:tc>
                <w:tcPr>
                  <w:tcW w:w="1045" w:type="pct"/>
                  <w:vMerge w:val="continue"/>
                  <w:vAlign w:val="center"/>
                </w:tcPr>
                <w:p>
                  <w:pPr>
                    <w:widowControl/>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4" w:type="pct"/>
                  <w:vMerge w:val="continue"/>
                  <w:vAlign w:val="center"/>
                </w:tcPr>
                <w:p>
                  <w:pPr>
                    <w:widowControl/>
                    <w:jc w:val="center"/>
                    <w:rPr>
                      <w:szCs w:val="21"/>
                    </w:rPr>
                  </w:pPr>
                </w:p>
              </w:tc>
              <w:tc>
                <w:tcPr>
                  <w:tcW w:w="1045" w:type="pct"/>
                  <w:vMerge w:val="continue"/>
                  <w:vAlign w:val="center"/>
                </w:tcPr>
                <w:p>
                  <w:pPr>
                    <w:widowControl/>
                    <w:jc w:val="center"/>
                    <w:rPr>
                      <w:szCs w:val="21"/>
                    </w:rPr>
                  </w:pPr>
                </w:p>
              </w:tc>
              <w:tc>
                <w:tcPr>
                  <w:tcW w:w="871" w:type="pct"/>
                  <w:vAlign w:val="center"/>
                </w:tcPr>
                <w:p>
                  <w:pPr>
                    <w:adjustRightInd w:val="0"/>
                    <w:snapToGrid w:val="0"/>
                    <w:jc w:val="center"/>
                    <w:rPr>
                      <w:szCs w:val="21"/>
                    </w:rPr>
                  </w:pPr>
                  <w:r>
                    <w:rPr>
                      <w:szCs w:val="21"/>
                    </w:rPr>
                    <w:t>24小时平均</w:t>
                  </w:r>
                </w:p>
              </w:tc>
              <w:tc>
                <w:tcPr>
                  <w:tcW w:w="696" w:type="pct"/>
                  <w:vAlign w:val="center"/>
                </w:tcPr>
                <w:p>
                  <w:pPr>
                    <w:adjustRightInd w:val="0"/>
                    <w:snapToGrid w:val="0"/>
                    <w:jc w:val="center"/>
                    <w:rPr>
                      <w:szCs w:val="21"/>
                    </w:rPr>
                  </w:pPr>
                  <w:r>
                    <w:rPr>
                      <w:szCs w:val="21"/>
                    </w:rPr>
                    <w:t>300</w:t>
                  </w:r>
                </w:p>
              </w:tc>
              <w:tc>
                <w:tcPr>
                  <w:tcW w:w="739" w:type="pct"/>
                  <w:vMerge w:val="continue"/>
                  <w:vAlign w:val="center"/>
                </w:tcPr>
                <w:p>
                  <w:pPr>
                    <w:widowControl/>
                    <w:jc w:val="center"/>
                    <w:rPr>
                      <w:szCs w:val="21"/>
                    </w:rPr>
                  </w:pPr>
                </w:p>
              </w:tc>
              <w:tc>
                <w:tcPr>
                  <w:tcW w:w="1045" w:type="pct"/>
                  <w:vMerge w:val="continue"/>
                  <w:vAlign w:val="center"/>
                </w:tcPr>
                <w:p>
                  <w:pPr>
                    <w:widowControl/>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4" w:type="pct"/>
                  <w:vMerge w:val="continue"/>
                  <w:vAlign w:val="center"/>
                </w:tcPr>
                <w:p>
                  <w:pPr>
                    <w:widowControl/>
                    <w:jc w:val="center"/>
                    <w:rPr>
                      <w:szCs w:val="21"/>
                    </w:rPr>
                  </w:pPr>
                </w:p>
              </w:tc>
              <w:tc>
                <w:tcPr>
                  <w:tcW w:w="1045" w:type="pct"/>
                  <w:vMerge w:val="restart"/>
                  <w:vAlign w:val="center"/>
                </w:tcPr>
                <w:p>
                  <w:pPr>
                    <w:widowControl/>
                    <w:jc w:val="center"/>
                    <w:rPr>
                      <w:szCs w:val="21"/>
                    </w:rPr>
                  </w:pPr>
                  <w:r>
                    <w:rPr>
                      <w:szCs w:val="21"/>
                    </w:rPr>
                    <w:t>氮氧化物（NOx）</w:t>
                  </w:r>
                </w:p>
              </w:tc>
              <w:tc>
                <w:tcPr>
                  <w:tcW w:w="871" w:type="pct"/>
                  <w:vAlign w:val="center"/>
                </w:tcPr>
                <w:p>
                  <w:pPr>
                    <w:adjustRightInd w:val="0"/>
                    <w:snapToGrid w:val="0"/>
                    <w:jc w:val="center"/>
                    <w:rPr>
                      <w:szCs w:val="21"/>
                    </w:rPr>
                  </w:pPr>
                  <w:r>
                    <w:rPr>
                      <w:szCs w:val="21"/>
                    </w:rPr>
                    <w:t>年平均</w:t>
                  </w:r>
                </w:p>
              </w:tc>
              <w:tc>
                <w:tcPr>
                  <w:tcW w:w="696" w:type="pct"/>
                  <w:vAlign w:val="center"/>
                </w:tcPr>
                <w:p>
                  <w:pPr>
                    <w:adjustRightInd w:val="0"/>
                    <w:snapToGrid w:val="0"/>
                    <w:jc w:val="center"/>
                    <w:rPr>
                      <w:szCs w:val="21"/>
                    </w:rPr>
                  </w:pPr>
                  <w:r>
                    <w:rPr>
                      <w:szCs w:val="21"/>
                    </w:rPr>
                    <w:t>50</w:t>
                  </w:r>
                </w:p>
              </w:tc>
              <w:tc>
                <w:tcPr>
                  <w:tcW w:w="739" w:type="pct"/>
                  <w:vMerge w:val="continue"/>
                  <w:vAlign w:val="center"/>
                </w:tcPr>
                <w:p>
                  <w:pPr>
                    <w:widowControl/>
                    <w:jc w:val="center"/>
                    <w:rPr>
                      <w:szCs w:val="21"/>
                    </w:rPr>
                  </w:pPr>
                </w:p>
              </w:tc>
              <w:tc>
                <w:tcPr>
                  <w:tcW w:w="1045" w:type="pct"/>
                  <w:vMerge w:val="continue"/>
                  <w:vAlign w:val="center"/>
                </w:tcPr>
                <w:p>
                  <w:pPr>
                    <w:widowControl/>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4" w:type="pct"/>
                  <w:vMerge w:val="continue"/>
                  <w:vAlign w:val="center"/>
                </w:tcPr>
                <w:p>
                  <w:pPr>
                    <w:widowControl/>
                    <w:jc w:val="center"/>
                    <w:rPr>
                      <w:szCs w:val="21"/>
                    </w:rPr>
                  </w:pPr>
                </w:p>
              </w:tc>
              <w:tc>
                <w:tcPr>
                  <w:tcW w:w="1045" w:type="pct"/>
                  <w:vMerge w:val="continue"/>
                  <w:vAlign w:val="center"/>
                </w:tcPr>
                <w:p>
                  <w:pPr>
                    <w:widowControl/>
                    <w:jc w:val="center"/>
                    <w:rPr>
                      <w:szCs w:val="21"/>
                    </w:rPr>
                  </w:pPr>
                </w:p>
              </w:tc>
              <w:tc>
                <w:tcPr>
                  <w:tcW w:w="871" w:type="pct"/>
                  <w:vAlign w:val="center"/>
                </w:tcPr>
                <w:p>
                  <w:pPr>
                    <w:adjustRightInd w:val="0"/>
                    <w:snapToGrid w:val="0"/>
                    <w:jc w:val="center"/>
                    <w:rPr>
                      <w:szCs w:val="21"/>
                    </w:rPr>
                  </w:pPr>
                  <w:r>
                    <w:rPr>
                      <w:szCs w:val="21"/>
                    </w:rPr>
                    <w:t>24小时平均</w:t>
                  </w:r>
                </w:p>
              </w:tc>
              <w:tc>
                <w:tcPr>
                  <w:tcW w:w="696" w:type="pct"/>
                  <w:vAlign w:val="center"/>
                </w:tcPr>
                <w:p>
                  <w:pPr>
                    <w:adjustRightInd w:val="0"/>
                    <w:snapToGrid w:val="0"/>
                    <w:jc w:val="center"/>
                    <w:rPr>
                      <w:szCs w:val="21"/>
                    </w:rPr>
                  </w:pPr>
                  <w:r>
                    <w:rPr>
                      <w:szCs w:val="21"/>
                    </w:rPr>
                    <w:t>100</w:t>
                  </w:r>
                </w:p>
              </w:tc>
              <w:tc>
                <w:tcPr>
                  <w:tcW w:w="739" w:type="pct"/>
                  <w:vMerge w:val="continue"/>
                  <w:vAlign w:val="center"/>
                </w:tcPr>
                <w:p>
                  <w:pPr>
                    <w:widowControl/>
                    <w:jc w:val="center"/>
                    <w:rPr>
                      <w:szCs w:val="21"/>
                    </w:rPr>
                  </w:pPr>
                </w:p>
              </w:tc>
              <w:tc>
                <w:tcPr>
                  <w:tcW w:w="1045" w:type="pct"/>
                  <w:vMerge w:val="continue"/>
                  <w:vAlign w:val="center"/>
                </w:tcPr>
                <w:p>
                  <w:pPr>
                    <w:widowControl/>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4" w:type="pct"/>
                  <w:vMerge w:val="continue"/>
                  <w:vAlign w:val="center"/>
                </w:tcPr>
                <w:p>
                  <w:pPr>
                    <w:widowControl/>
                    <w:jc w:val="center"/>
                    <w:rPr>
                      <w:szCs w:val="21"/>
                    </w:rPr>
                  </w:pPr>
                </w:p>
              </w:tc>
              <w:tc>
                <w:tcPr>
                  <w:tcW w:w="1045" w:type="pct"/>
                  <w:vMerge w:val="continue"/>
                  <w:vAlign w:val="center"/>
                </w:tcPr>
                <w:p>
                  <w:pPr>
                    <w:widowControl/>
                    <w:jc w:val="center"/>
                    <w:rPr>
                      <w:szCs w:val="21"/>
                    </w:rPr>
                  </w:pPr>
                </w:p>
              </w:tc>
              <w:tc>
                <w:tcPr>
                  <w:tcW w:w="871" w:type="pct"/>
                  <w:vAlign w:val="center"/>
                </w:tcPr>
                <w:p>
                  <w:pPr>
                    <w:adjustRightInd w:val="0"/>
                    <w:snapToGrid w:val="0"/>
                    <w:jc w:val="center"/>
                    <w:rPr>
                      <w:szCs w:val="21"/>
                    </w:rPr>
                  </w:pPr>
                  <w:r>
                    <w:rPr>
                      <w:szCs w:val="21"/>
                    </w:rPr>
                    <w:t>1小时平均</w:t>
                  </w:r>
                </w:p>
              </w:tc>
              <w:tc>
                <w:tcPr>
                  <w:tcW w:w="696" w:type="pct"/>
                  <w:vAlign w:val="center"/>
                </w:tcPr>
                <w:p>
                  <w:pPr>
                    <w:adjustRightInd w:val="0"/>
                    <w:snapToGrid w:val="0"/>
                    <w:jc w:val="center"/>
                    <w:rPr>
                      <w:szCs w:val="21"/>
                    </w:rPr>
                  </w:pPr>
                  <w:r>
                    <w:rPr>
                      <w:szCs w:val="21"/>
                    </w:rPr>
                    <w:t>250</w:t>
                  </w:r>
                </w:p>
              </w:tc>
              <w:tc>
                <w:tcPr>
                  <w:tcW w:w="739" w:type="pct"/>
                  <w:vMerge w:val="continue"/>
                  <w:vAlign w:val="center"/>
                </w:tcPr>
                <w:p>
                  <w:pPr>
                    <w:widowControl/>
                    <w:jc w:val="center"/>
                    <w:rPr>
                      <w:szCs w:val="21"/>
                    </w:rPr>
                  </w:pPr>
                </w:p>
              </w:tc>
              <w:tc>
                <w:tcPr>
                  <w:tcW w:w="1045" w:type="pct"/>
                  <w:vMerge w:val="continue"/>
                  <w:vAlign w:val="center"/>
                </w:tcPr>
                <w:p>
                  <w:pPr>
                    <w:widowControl/>
                    <w:jc w:val="center"/>
                    <w:rPr>
                      <w:szCs w:val="21"/>
                    </w:rPr>
                  </w:pPr>
                </w:p>
              </w:tc>
            </w:tr>
            <w:bookmarkEnd w:id="37"/>
            <w:bookmarkEnd w:id="38"/>
          </w:tbl>
          <w:p>
            <w:pPr>
              <w:pStyle w:val="43"/>
              <w:ind w:firstLine="0" w:firstLineChars="0"/>
              <w:jc w:val="both"/>
              <w:rPr>
                <w:rFonts w:ascii="Times New Roman" w:hAnsi="Times New Roman"/>
                <w:b/>
                <w:bCs/>
                <w:spacing w:val="-4"/>
              </w:rPr>
            </w:pPr>
            <w:r>
              <w:rPr>
                <w:rFonts w:hint="eastAsia" w:ascii="Times New Roman" w:hAnsi="Times New Roman"/>
                <w:b/>
                <w:bCs/>
                <w:spacing w:val="-4"/>
              </w:rPr>
              <w:t>2、区域环境空气质量达标情况</w:t>
            </w:r>
          </w:p>
          <w:p>
            <w:pPr>
              <w:pStyle w:val="43"/>
              <w:ind w:firstLine="464"/>
              <w:jc w:val="both"/>
              <w:rPr>
                <w:rFonts w:ascii="Times New Roman" w:hAnsi="Times New Roman"/>
                <w:spacing w:val="-4"/>
              </w:rPr>
            </w:pPr>
            <w:bookmarkStart w:id="39" w:name="_Hlk138875940"/>
            <w:r>
              <w:rPr>
                <w:rFonts w:hint="eastAsia" w:ascii="Times New Roman" w:hAnsi="Times New Roman"/>
                <w:spacing w:val="-4"/>
              </w:rPr>
              <w:t>根据《建设项目环境影响报告表编制技术指南（污染影响类）》相关要求，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无相关数据的选择当季主导风向下风向1个点位补充不少于3天的监测数据。</w:t>
            </w:r>
          </w:p>
          <w:p>
            <w:pPr>
              <w:pStyle w:val="43"/>
              <w:ind w:firstLine="466"/>
              <w:jc w:val="both"/>
              <w:rPr>
                <w:rFonts w:ascii="Times New Roman" w:hAnsi="Times New Roman"/>
                <w:b/>
                <w:spacing w:val="-4"/>
              </w:rPr>
            </w:pPr>
            <w:r>
              <w:rPr>
                <w:rFonts w:hint="eastAsia" w:ascii="Times New Roman" w:hAnsi="Times New Roman"/>
                <w:b/>
                <w:spacing w:val="-4"/>
              </w:rPr>
              <w:t>（1）常规污染物达标性判定</w:t>
            </w:r>
          </w:p>
          <w:p>
            <w:pPr>
              <w:pStyle w:val="43"/>
              <w:ind w:firstLine="464"/>
              <w:jc w:val="both"/>
              <w:rPr>
                <w:rFonts w:ascii="Times New Roman" w:hAnsi="Times New Roman"/>
                <w:color w:val="0000FF"/>
                <w:spacing w:val="-4"/>
              </w:rPr>
            </w:pPr>
            <w:r>
              <w:rPr>
                <w:rFonts w:hint="eastAsia" w:ascii="Times New Roman" w:hAnsi="Times New Roman"/>
                <w:spacing w:val="-4"/>
              </w:rPr>
              <w:t>本项目位于维西县域内，按照《建设项目环境影响报告表编制技术指南（污染影响类）》相关要求，</w:t>
            </w:r>
            <w:r>
              <w:rPr>
                <w:rFonts w:hint="eastAsia" w:ascii="Times New Roman" w:hAnsi="Times New Roman"/>
                <w:color w:val="0000FF"/>
                <w:spacing w:val="-4"/>
              </w:rPr>
              <w:t>本次评价常规污染物引用《迪庆州2</w:t>
            </w:r>
            <w:r>
              <w:rPr>
                <w:rFonts w:ascii="Times New Roman" w:hAnsi="Times New Roman"/>
                <w:color w:val="0000FF"/>
                <w:spacing w:val="-4"/>
              </w:rPr>
              <w:t>022</w:t>
            </w:r>
            <w:r>
              <w:rPr>
                <w:rFonts w:hint="eastAsia" w:ascii="Times New Roman" w:hAnsi="Times New Roman"/>
                <w:color w:val="0000FF"/>
                <w:spacing w:val="-4"/>
              </w:rPr>
              <w:t>年生态环境状况公报》中关于维西县环境空气质量达标性的相关结论，具体如下：</w:t>
            </w:r>
          </w:p>
          <w:p>
            <w:pPr>
              <w:pStyle w:val="43"/>
              <w:ind w:firstLine="464"/>
              <w:jc w:val="both"/>
              <w:rPr>
                <w:rFonts w:ascii="Times New Roman" w:hAnsi="Times New Roman"/>
                <w:color w:val="0000FF"/>
                <w:spacing w:val="-4"/>
              </w:rPr>
            </w:pPr>
            <w:r>
              <w:rPr>
                <w:rFonts w:hint="eastAsia" w:ascii="Times New Roman" w:hAnsi="Times New Roman"/>
                <w:color w:val="0000FF"/>
                <w:spacing w:val="-4"/>
              </w:rPr>
              <w:t>根据《迪庆州2</w:t>
            </w:r>
            <w:r>
              <w:rPr>
                <w:rFonts w:ascii="Times New Roman" w:hAnsi="Times New Roman"/>
                <w:color w:val="0000FF"/>
                <w:spacing w:val="-4"/>
              </w:rPr>
              <w:t>022</w:t>
            </w:r>
            <w:r>
              <w:rPr>
                <w:rFonts w:hint="eastAsia" w:ascii="Times New Roman" w:hAnsi="Times New Roman"/>
                <w:color w:val="0000FF"/>
                <w:spacing w:val="-4"/>
              </w:rPr>
              <w:t>年生态环境状况公报》，2022年，维西县空气质量自动监测优良达标天数361天，其中，优324天，良37天，优良率（达标率）100%，优良率与2021年相比提升了0.09%，环境空气质量综合指数为1.73，空气质量综合指数与2021年相比下降了0.23。按环境空气质量评价标准（综合指数），2022年空气质量好于2021年。2022年，维西县二氧化硫（SO</w:t>
            </w:r>
            <w:r>
              <w:rPr>
                <w:rFonts w:hint="eastAsia" w:ascii="Times New Roman" w:hAnsi="Times New Roman"/>
                <w:color w:val="0000FF"/>
                <w:spacing w:val="-4"/>
                <w:vertAlign w:val="subscript"/>
              </w:rPr>
              <w:t>2</w:t>
            </w:r>
            <w:r>
              <w:rPr>
                <w:rFonts w:hint="eastAsia" w:ascii="Times New Roman" w:hAnsi="Times New Roman"/>
                <w:color w:val="0000FF"/>
                <w:spacing w:val="-4"/>
              </w:rPr>
              <w:t>）、细颗粒物（PM</w:t>
            </w:r>
            <w:r>
              <w:rPr>
                <w:rFonts w:hint="eastAsia" w:ascii="Times New Roman" w:hAnsi="Times New Roman"/>
                <w:color w:val="0000FF"/>
                <w:spacing w:val="-4"/>
                <w:vertAlign w:val="subscript"/>
              </w:rPr>
              <w:t>2.5</w:t>
            </w:r>
            <w:r>
              <w:rPr>
                <w:rFonts w:hint="eastAsia" w:ascii="Times New Roman" w:hAnsi="Times New Roman"/>
                <w:color w:val="0000FF"/>
                <w:spacing w:val="-4"/>
              </w:rPr>
              <w:t>）、可吸入颗粒物（PM</w:t>
            </w:r>
            <w:r>
              <w:rPr>
                <w:rFonts w:hint="eastAsia" w:ascii="Times New Roman" w:hAnsi="Times New Roman"/>
                <w:color w:val="0000FF"/>
                <w:spacing w:val="-4"/>
                <w:vertAlign w:val="subscript"/>
              </w:rPr>
              <w:t>10</w:t>
            </w:r>
            <w:r>
              <w:rPr>
                <w:rFonts w:hint="eastAsia" w:ascii="Times New Roman" w:hAnsi="Times New Roman"/>
                <w:color w:val="0000FF"/>
                <w:spacing w:val="-4"/>
              </w:rPr>
              <w:t>）、二氧化氮（NO</w:t>
            </w:r>
            <w:r>
              <w:rPr>
                <w:rFonts w:hint="eastAsia" w:ascii="Times New Roman" w:hAnsi="Times New Roman"/>
                <w:color w:val="0000FF"/>
                <w:spacing w:val="-4"/>
                <w:vertAlign w:val="subscript"/>
              </w:rPr>
              <w:t>2</w:t>
            </w:r>
            <w:r>
              <w:rPr>
                <w:rFonts w:hint="eastAsia" w:ascii="Times New Roman" w:hAnsi="Times New Roman"/>
                <w:color w:val="0000FF"/>
                <w:spacing w:val="-4"/>
              </w:rPr>
              <w:t>）、CO</w:t>
            </w:r>
            <w:r>
              <w:rPr>
                <w:rFonts w:ascii="Times New Roman" w:hAnsi="Times New Roman"/>
                <w:color w:val="0000FF"/>
                <w:spacing w:val="-4"/>
              </w:rPr>
              <w:t xml:space="preserve"> </w:t>
            </w:r>
            <w:r>
              <w:rPr>
                <w:rFonts w:hint="eastAsia" w:ascii="Times New Roman" w:hAnsi="Times New Roman"/>
                <w:color w:val="0000FF"/>
                <w:spacing w:val="-4"/>
              </w:rPr>
              <w:t>24小时平均第95位百分位数各年度均值均在一级浓度限值内，O</w:t>
            </w:r>
            <w:r>
              <w:rPr>
                <w:rFonts w:hint="eastAsia" w:ascii="Times New Roman" w:hAnsi="Times New Roman"/>
                <w:color w:val="0000FF"/>
                <w:spacing w:val="-4"/>
                <w:vertAlign w:val="subscript"/>
              </w:rPr>
              <w:t>3</w:t>
            </w:r>
            <w:r>
              <w:rPr>
                <w:rFonts w:hint="eastAsia" w:ascii="Times New Roman" w:hAnsi="Times New Roman"/>
                <w:color w:val="0000FF"/>
                <w:spacing w:val="-4"/>
              </w:rPr>
              <w:t>日最大8小时平均第90百分位数年均值在一级浓度限值内。</w:t>
            </w:r>
          </w:p>
          <w:p>
            <w:pPr>
              <w:pStyle w:val="43"/>
              <w:ind w:firstLine="464"/>
              <w:jc w:val="both"/>
              <w:rPr>
                <w:rFonts w:ascii="Times New Roman" w:hAnsi="Times New Roman"/>
                <w:color w:val="0000FF"/>
                <w:spacing w:val="-4"/>
              </w:rPr>
            </w:pPr>
            <w:r>
              <w:rPr>
                <w:rFonts w:hint="eastAsia" w:ascii="Times New Roman" w:hAnsi="Times New Roman"/>
                <w:color w:val="0000FF"/>
                <w:spacing w:val="-4"/>
              </w:rPr>
              <w:t>根据《迪庆州2</w:t>
            </w:r>
            <w:r>
              <w:rPr>
                <w:rFonts w:ascii="Times New Roman" w:hAnsi="Times New Roman"/>
                <w:color w:val="0000FF"/>
                <w:spacing w:val="-4"/>
              </w:rPr>
              <w:t>022</w:t>
            </w:r>
            <w:r>
              <w:rPr>
                <w:rFonts w:hint="eastAsia" w:ascii="Times New Roman" w:hAnsi="Times New Roman"/>
                <w:color w:val="0000FF"/>
                <w:spacing w:val="-4"/>
              </w:rPr>
              <w:t>年生态环境状况公报》，项目所在区域环境空气中，常规污染物现状质量可达《环境空气质量标准》（GB 3095-2012）二级标准限值要求。</w:t>
            </w:r>
          </w:p>
          <w:p>
            <w:pPr>
              <w:pStyle w:val="43"/>
              <w:ind w:firstLine="466"/>
              <w:jc w:val="both"/>
              <w:rPr>
                <w:rFonts w:ascii="Times New Roman" w:hAnsi="Times New Roman"/>
                <w:b/>
                <w:spacing w:val="-4"/>
              </w:rPr>
            </w:pPr>
            <w:r>
              <w:rPr>
                <w:rFonts w:hint="eastAsia" w:ascii="Times New Roman" w:hAnsi="Times New Roman"/>
                <w:b/>
                <w:spacing w:val="-4"/>
              </w:rPr>
              <w:t>（2）特征污染物达标性判定</w:t>
            </w:r>
          </w:p>
          <w:p>
            <w:pPr>
              <w:pStyle w:val="43"/>
              <w:ind w:firstLine="464"/>
              <w:jc w:val="both"/>
              <w:rPr>
                <w:rFonts w:ascii="Times New Roman" w:hAnsi="Times New Roman"/>
                <w:spacing w:val="-4"/>
              </w:rPr>
            </w:pPr>
            <w:r>
              <w:rPr>
                <w:rFonts w:hint="eastAsia" w:ascii="Times New Roman" w:hAnsi="Times New Roman"/>
                <w:spacing w:val="-4"/>
              </w:rPr>
              <w:t>根据气象资料，项目区常年主导风向为东南风，项目运营期排放特征污染物为TSP。按照《建设项目环境影响报告表编制技术指南（污染影响类）》相关要求，本次评价于厂界下风（西北侧下笼嘎散户处）布设监测点位对环境空气中TSP进行现状补充监测，布点及监测信息如下：</w:t>
            </w:r>
          </w:p>
          <w:p>
            <w:pPr>
              <w:pStyle w:val="43"/>
              <w:spacing w:line="240" w:lineRule="auto"/>
              <w:ind w:firstLine="0" w:firstLineChars="0"/>
              <w:rPr>
                <w:rFonts w:ascii="Times New Roman" w:hAnsi="Times New Roman"/>
                <w:b/>
                <w:spacing w:val="-4"/>
              </w:rPr>
            </w:pPr>
            <w:r>
              <w:rPr>
                <w:rFonts w:hint="eastAsia" w:ascii="Times New Roman" w:hAnsi="Times New Roman"/>
                <w:b/>
                <w:spacing w:val="-4"/>
              </w:rPr>
              <w:t>表3</w:t>
            </w:r>
            <w:r>
              <w:rPr>
                <w:rFonts w:ascii="Times New Roman" w:hAnsi="Times New Roman"/>
                <w:b/>
                <w:spacing w:val="-4"/>
              </w:rPr>
              <w:t xml:space="preserve">.1-2  </w:t>
            </w:r>
            <w:r>
              <w:rPr>
                <w:rFonts w:hint="eastAsia" w:ascii="Times New Roman" w:hAnsi="Times New Roman"/>
                <w:b/>
                <w:spacing w:val="-4"/>
              </w:rPr>
              <w:t>现状补充监测及布点信息一览表</w:t>
            </w:r>
          </w:p>
          <w:tbl>
            <w:tblPr>
              <w:tblStyle w:val="3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548"/>
              <w:gridCol w:w="1563"/>
              <w:gridCol w:w="30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2172" w:type="pct"/>
                  <w:vAlign w:val="center"/>
                </w:tcPr>
                <w:p>
                  <w:pPr>
                    <w:jc w:val="center"/>
                    <w:rPr>
                      <w:b/>
                      <w:szCs w:val="21"/>
                    </w:rPr>
                  </w:pPr>
                  <w:r>
                    <w:rPr>
                      <w:b/>
                      <w:szCs w:val="21"/>
                    </w:rPr>
                    <w:t>监测点位</w:t>
                  </w:r>
                </w:p>
              </w:tc>
              <w:tc>
                <w:tcPr>
                  <w:tcW w:w="957" w:type="pct"/>
                  <w:vAlign w:val="center"/>
                </w:tcPr>
                <w:p>
                  <w:pPr>
                    <w:jc w:val="center"/>
                    <w:rPr>
                      <w:b/>
                      <w:szCs w:val="21"/>
                    </w:rPr>
                  </w:pPr>
                  <w:r>
                    <w:rPr>
                      <w:b/>
                      <w:szCs w:val="21"/>
                    </w:rPr>
                    <w:t>监测因子</w:t>
                  </w:r>
                </w:p>
              </w:tc>
              <w:tc>
                <w:tcPr>
                  <w:tcW w:w="1871" w:type="pct"/>
                  <w:vAlign w:val="center"/>
                </w:tcPr>
                <w:p>
                  <w:pPr>
                    <w:jc w:val="center"/>
                    <w:rPr>
                      <w:b/>
                      <w:szCs w:val="21"/>
                    </w:rPr>
                  </w:pPr>
                  <w:r>
                    <w:rPr>
                      <w:b/>
                      <w:szCs w:val="21"/>
                    </w:rPr>
                    <w:t>监测频次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 w:hRule="atLeast"/>
                <w:jc w:val="center"/>
              </w:trPr>
              <w:tc>
                <w:tcPr>
                  <w:tcW w:w="2172" w:type="pct"/>
                  <w:vAlign w:val="center"/>
                </w:tcPr>
                <w:p>
                  <w:pPr>
                    <w:jc w:val="center"/>
                  </w:pPr>
                  <w:r>
                    <w:t>厂界下风向A1（</w:t>
                  </w:r>
                  <w:r>
                    <w:rPr>
                      <w:rFonts w:hint="eastAsia"/>
                    </w:rPr>
                    <w:t>西北侧下笼嘎散户</w:t>
                  </w:r>
                  <w:r>
                    <w:t>）E：99°5′2.66″</w:t>
                  </w:r>
                  <w:r>
                    <w:rPr>
                      <w:rFonts w:hint="eastAsia"/>
                    </w:rPr>
                    <w:t>，</w:t>
                  </w:r>
                  <w:r>
                    <w:t>N：27°21′6.37″</w:t>
                  </w:r>
                </w:p>
              </w:tc>
              <w:tc>
                <w:tcPr>
                  <w:tcW w:w="957" w:type="pct"/>
                  <w:vAlign w:val="center"/>
                </w:tcPr>
                <w:p>
                  <w:pPr>
                    <w:jc w:val="center"/>
                    <w:rPr>
                      <w:bCs/>
                      <w:szCs w:val="21"/>
                    </w:rPr>
                  </w:pPr>
                  <w:r>
                    <w:rPr>
                      <w:bCs/>
                      <w:szCs w:val="21"/>
                    </w:rPr>
                    <w:t>总悬浮颗粒物</w:t>
                  </w:r>
                </w:p>
              </w:tc>
              <w:tc>
                <w:tcPr>
                  <w:tcW w:w="1871" w:type="pct"/>
                  <w:vAlign w:val="center"/>
                </w:tcPr>
                <w:p>
                  <w:pPr>
                    <w:jc w:val="center"/>
                    <w:rPr>
                      <w:bCs/>
                      <w:szCs w:val="21"/>
                    </w:rPr>
                  </w:pPr>
                  <w:r>
                    <w:rPr>
                      <w:bCs/>
                      <w:szCs w:val="21"/>
                    </w:rPr>
                    <w:t>监测24h均值，连续监测3天</w:t>
                  </w:r>
                </w:p>
              </w:tc>
            </w:tr>
          </w:tbl>
          <w:p>
            <w:pPr>
              <w:pStyle w:val="43"/>
              <w:spacing w:line="240" w:lineRule="auto"/>
              <w:ind w:firstLine="0" w:firstLineChars="0"/>
              <w:rPr>
                <w:rFonts w:ascii="Times New Roman" w:hAnsi="Times New Roman"/>
                <w:spacing w:val="-4"/>
                <w:sz w:val="21"/>
                <w:szCs w:val="21"/>
              </w:rPr>
            </w:pPr>
          </w:p>
          <w:bookmarkEnd w:id="39"/>
          <w:p>
            <w:pPr>
              <w:pStyle w:val="43"/>
              <w:ind w:firstLine="480"/>
              <w:jc w:val="both"/>
              <w:rPr>
                <w:rFonts w:ascii="Times New Roman" w:hAnsi="Times New Roman"/>
              </w:rPr>
            </w:pPr>
            <w:bookmarkStart w:id="40" w:name="_Hlk138876037"/>
            <w:r>
              <w:rPr>
                <w:rFonts w:hint="eastAsia" w:ascii="宋体" w:hAnsi="宋体"/>
              </w:rPr>
              <w:t>①</w:t>
            </w:r>
            <w:r>
              <w:rPr>
                <w:rFonts w:hint="eastAsia" w:ascii="Times New Roman" w:hAnsi="Times New Roman"/>
              </w:rPr>
              <w:t>评价方法</w:t>
            </w:r>
          </w:p>
          <w:p>
            <w:pPr>
              <w:spacing w:line="360" w:lineRule="auto"/>
              <w:ind w:firstLine="480" w:firstLineChars="200"/>
              <w:rPr>
                <w:sz w:val="24"/>
              </w:rPr>
            </w:pPr>
            <w:r>
              <w:rPr>
                <w:sz w:val="24"/>
              </w:rPr>
              <w:t>评价方法采用各取值时间最大占标百分比及超标率，公式如下：</w:t>
            </w:r>
          </w:p>
          <w:p>
            <w:pPr>
              <w:spacing w:line="360" w:lineRule="auto"/>
              <w:ind w:firstLine="480" w:firstLineChars="200"/>
              <w:jc w:val="left"/>
              <w:rPr>
                <w:sz w:val="24"/>
              </w:rPr>
            </w:pPr>
            <w:r>
              <w:rPr>
                <w:sz w:val="24"/>
              </w:rPr>
              <w:t>A</w:t>
            </w:r>
            <w:r>
              <w:rPr>
                <w:rFonts w:hint="eastAsia"/>
                <w:sz w:val="24"/>
              </w:rPr>
              <w:t>、</w:t>
            </w:r>
            <w:r>
              <w:rPr>
                <w:sz w:val="24"/>
              </w:rPr>
              <w:t>最大浓度占标百分比：</w:t>
            </w:r>
          </w:p>
          <w:p>
            <w:pPr>
              <w:spacing w:line="360" w:lineRule="auto"/>
              <w:ind w:firstLine="420" w:firstLineChars="200"/>
              <w:jc w:val="center"/>
              <w:rPr>
                <w:sz w:val="24"/>
              </w:rPr>
            </w:pPr>
            <w:r>
              <w:drawing>
                <wp:inline distT="0" distB="0" distL="114300" distR="114300">
                  <wp:extent cx="1666875" cy="352425"/>
                  <wp:effectExtent l="0" t="0" r="9525" b="952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6"/>
                          <a:stretch>
                            <a:fillRect/>
                          </a:stretch>
                        </pic:blipFill>
                        <pic:spPr>
                          <a:xfrm>
                            <a:off x="0" y="0"/>
                            <a:ext cx="1666875" cy="352425"/>
                          </a:xfrm>
                          <a:prstGeom prst="rect">
                            <a:avLst/>
                          </a:prstGeom>
                          <a:noFill/>
                          <a:ln>
                            <a:noFill/>
                          </a:ln>
                        </pic:spPr>
                      </pic:pic>
                    </a:graphicData>
                  </a:graphic>
                </wp:inline>
              </w:drawing>
            </w:r>
          </w:p>
          <w:p>
            <w:pPr>
              <w:spacing w:line="360" w:lineRule="auto"/>
              <w:ind w:firstLine="480" w:firstLineChars="200"/>
              <w:jc w:val="left"/>
              <w:rPr>
                <w:sz w:val="24"/>
              </w:rPr>
            </w:pPr>
            <w:r>
              <w:rPr>
                <w:rFonts w:hint="eastAsia"/>
                <w:sz w:val="24"/>
              </w:rPr>
              <w:t>式中：pi——i项污染物的最大浓度占标率，（%）；</w:t>
            </w:r>
          </w:p>
          <w:p>
            <w:pPr>
              <w:spacing w:line="360" w:lineRule="auto"/>
              <w:ind w:firstLine="480" w:firstLineChars="200"/>
              <w:jc w:val="left"/>
              <w:rPr>
                <w:sz w:val="24"/>
              </w:rPr>
            </w:pPr>
            <w:r>
              <w:rPr>
                <w:rFonts w:hint="eastAsia"/>
                <w:sz w:val="24"/>
              </w:rPr>
              <w:t>Ci——项污染物浓度实测值，mg/m³；</w:t>
            </w:r>
          </w:p>
          <w:p>
            <w:pPr>
              <w:spacing w:line="360" w:lineRule="auto"/>
              <w:ind w:firstLine="480" w:firstLineChars="200"/>
              <w:jc w:val="left"/>
              <w:rPr>
                <w:sz w:val="24"/>
              </w:rPr>
            </w:pPr>
            <w:r>
              <w:rPr>
                <w:rFonts w:hint="eastAsia"/>
                <w:sz w:val="24"/>
              </w:rPr>
              <w:t>Csi——i项污染物浓度标准值。</w:t>
            </w:r>
          </w:p>
          <w:p>
            <w:pPr>
              <w:pStyle w:val="43"/>
              <w:ind w:firstLine="480"/>
              <w:jc w:val="both"/>
              <w:rPr>
                <w:rFonts w:ascii="Times New Roman" w:hAnsi="Times New Roman"/>
              </w:rPr>
            </w:pPr>
            <w:r>
              <w:rPr>
                <w:rFonts w:hint="eastAsia" w:ascii="宋体" w:hAnsi="宋体"/>
              </w:rPr>
              <w:t>②</w:t>
            </w:r>
            <w:r>
              <w:rPr>
                <w:rFonts w:hint="eastAsia" w:ascii="Times New Roman" w:hAnsi="Times New Roman"/>
              </w:rPr>
              <w:t>评价标准</w:t>
            </w:r>
          </w:p>
          <w:p>
            <w:pPr>
              <w:pStyle w:val="43"/>
              <w:ind w:firstLine="480"/>
              <w:jc w:val="both"/>
              <w:rPr>
                <w:rFonts w:ascii="Times New Roman" w:hAnsi="Times New Roman"/>
              </w:rPr>
            </w:pPr>
            <w:r>
              <w:rPr>
                <w:rFonts w:hint="eastAsia" w:ascii="Times New Roman" w:hAnsi="Times New Roman"/>
              </w:rPr>
              <w:t>特征因子TSP执行《环境空气质量标准》(GB3095-2012）二级标准要求。</w:t>
            </w:r>
          </w:p>
          <w:p>
            <w:pPr>
              <w:pStyle w:val="43"/>
              <w:ind w:firstLine="480"/>
              <w:jc w:val="both"/>
              <w:rPr>
                <w:rFonts w:ascii="Times New Roman" w:hAnsi="Times New Roman"/>
              </w:rPr>
            </w:pPr>
            <w:r>
              <w:rPr>
                <w:rFonts w:hint="eastAsia" w:ascii="宋体" w:hAnsi="宋体"/>
              </w:rPr>
              <w:t>③监测及评价结果</w:t>
            </w:r>
          </w:p>
          <w:p>
            <w:pPr>
              <w:pStyle w:val="43"/>
              <w:ind w:firstLine="480"/>
              <w:jc w:val="both"/>
              <w:rPr>
                <w:rFonts w:ascii="Times New Roman" w:hAnsi="Times New Roman"/>
              </w:rPr>
            </w:pPr>
            <w:bookmarkStart w:id="41" w:name="_Hlk138668895"/>
            <w:r>
              <w:rPr>
                <w:rFonts w:hint="eastAsia" w:ascii="Times New Roman" w:hAnsi="Times New Roman"/>
              </w:rPr>
              <w:t>根据现状补充监测报告（TY</w:t>
            </w:r>
            <w:r>
              <w:rPr>
                <w:rFonts w:ascii="Times New Roman" w:hAnsi="Times New Roman"/>
              </w:rPr>
              <w:t>[2023]-269</w:t>
            </w:r>
            <w:r>
              <w:rPr>
                <w:rFonts w:hint="eastAsia" w:ascii="Times New Roman" w:hAnsi="Times New Roman"/>
              </w:rPr>
              <w:t>，详见</w:t>
            </w:r>
            <w:r>
              <w:rPr>
                <w:rFonts w:hint="eastAsia" w:ascii="Times New Roman" w:hAnsi="Times New Roman"/>
                <w:b/>
                <w:u w:val="single"/>
              </w:rPr>
              <w:t>附件</w:t>
            </w:r>
            <w:r>
              <w:rPr>
                <w:rFonts w:ascii="Times New Roman" w:hAnsi="Times New Roman"/>
                <w:b/>
                <w:u w:val="single"/>
              </w:rPr>
              <w:t>6</w:t>
            </w:r>
            <w:r>
              <w:rPr>
                <w:rFonts w:hint="eastAsia" w:ascii="Times New Roman" w:hAnsi="Times New Roman"/>
              </w:rPr>
              <w:t>），区域环境空气中TSP监测及达标情况分析如下：</w:t>
            </w:r>
          </w:p>
          <w:p>
            <w:pPr>
              <w:pStyle w:val="43"/>
              <w:spacing w:line="240" w:lineRule="auto"/>
              <w:ind w:firstLine="0" w:firstLineChars="0"/>
              <w:rPr>
                <w:rFonts w:ascii="Times New Roman" w:hAnsi="Times New Roman"/>
                <w:b/>
                <w:bCs/>
              </w:rPr>
            </w:pPr>
            <w:r>
              <w:rPr>
                <w:rFonts w:hint="eastAsia" w:ascii="Times New Roman" w:hAnsi="Times New Roman"/>
                <w:b/>
                <w:bCs/>
              </w:rPr>
              <w:t>表3</w:t>
            </w:r>
            <w:r>
              <w:rPr>
                <w:rFonts w:ascii="Times New Roman" w:hAnsi="Times New Roman"/>
                <w:b/>
                <w:bCs/>
              </w:rPr>
              <w:t xml:space="preserve">.1-3  </w:t>
            </w:r>
            <w:r>
              <w:rPr>
                <w:rFonts w:hint="eastAsia" w:ascii="Times New Roman" w:hAnsi="Times New Roman"/>
                <w:b/>
                <w:bCs/>
              </w:rPr>
              <w:t xml:space="preserve">TSP监测及评价结果一览表 </w:t>
            </w:r>
            <w:r>
              <w:rPr>
                <w:rFonts w:ascii="Times New Roman" w:hAnsi="Times New Roman"/>
                <w:b/>
                <w:bCs/>
              </w:rPr>
              <w:t xml:space="preserve"> </w:t>
            </w:r>
            <w:r>
              <w:rPr>
                <w:rFonts w:hint="eastAsia" w:ascii="Times New Roman" w:hAnsi="Times New Roman"/>
                <w:b/>
                <w:bCs/>
              </w:rPr>
              <w:t>单位：μ</w:t>
            </w:r>
            <w:r>
              <w:rPr>
                <w:rFonts w:ascii="Times New Roman" w:hAnsi="Times New Roman"/>
                <w:b/>
                <w:bCs/>
              </w:rPr>
              <w:t>g/m</w:t>
            </w:r>
            <w:r>
              <w:rPr>
                <w:rFonts w:ascii="Times New Roman" w:hAnsi="Times New Roman"/>
                <w:b/>
                <w:bCs/>
                <w:vertAlign w:val="superscript"/>
              </w:rPr>
              <w:t>3</w:t>
            </w:r>
          </w:p>
          <w:tbl>
            <w:tblPr>
              <w:tblStyle w:val="3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19"/>
              <w:gridCol w:w="1770"/>
              <w:gridCol w:w="1096"/>
              <w:gridCol w:w="1296"/>
              <w:gridCol w:w="732"/>
              <w:gridCol w:w="927"/>
              <w:gridCol w:w="9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714" w:type="pct"/>
                  <w:vMerge w:val="restart"/>
                  <w:vAlign w:val="center"/>
                </w:tcPr>
                <w:p>
                  <w:pPr>
                    <w:widowControl/>
                    <w:jc w:val="center"/>
                    <w:textAlignment w:val="center"/>
                    <w:rPr>
                      <w:b/>
                      <w:bCs/>
                      <w:kern w:val="0"/>
                      <w:lang w:bidi="ar"/>
                    </w:rPr>
                  </w:pPr>
                  <w:r>
                    <w:rPr>
                      <w:b/>
                      <w:bCs/>
                      <w:kern w:val="0"/>
                      <w:szCs w:val="21"/>
                      <w:lang w:bidi="ar"/>
                    </w:rPr>
                    <w:t>采样日期</w:t>
                  </w:r>
                </w:p>
              </w:tc>
              <w:tc>
                <w:tcPr>
                  <w:tcW w:w="1110" w:type="pct"/>
                  <w:vMerge w:val="restart"/>
                  <w:vAlign w:val="center"/>
                </w:tcPr>
                <w:p>
                  <w:pPr>
                    <w:widowControl/>
                    <w:jc w:val="center"/>
                    <w:textAlignment w:val="center"/>
                    <w:rPr>
                      <w:b/>
                      <w:bCs/>
                      <w:kern w:val="0"/>
                      <w:lang w:bidi="ar"/>
                    </w:rPr>
                  </w:pPr>
                  <w:r>
                    <w:rPr>
                      <w:b/>
                      <w:bCs/>
                      <w:kern w:val="0"/>
                      <w:szCs w:val="21"/>
                      <w:lang w:bidi="ar"/>
                    </w:rPr>
                    <w:t>采样时段</w:t>
                  </w:r>
                </w:p>
              </w:tc>
              <w:tc>
                <w:tcPr>
                  <w:tcW w:w="697" w:type="pct"/>
                  <w:vMerge w:val="restart"/>
                  <w:vAlign w:val="center"/>
                </w:tcPr>
                <w:p>
                  <w:pPr>
                    <w:widowControl/>
                    <w:jc w:val="center"/>
                    <w:textAlignment w:val="center"/>
                    <w:rPr>
                      <w:b/>
                      <w:bCs/>
                      <w:kern w:val="0"/>
                      <w:lang w:bidi="ar"/>
                    </w:rPr>
                  </w:pPr>
                  <w:r>
                    <w:rPr>
                      <w:b/>
                      <w:bCs/>
                      <w:kern w:val="0"/>
                      <w:szCs w:val="21"/>
                      <w:lang w:bidi="ar"/>
                    </w:rPr>
                    <w:t>检测点位</w:t>
                  </w:r>
                </w:p>
              </w:tc>
              <w:tc>
                <w:tcPr>
                  <w:tcW w:w="819" w:type="pct"/>
                  <w:tcBorders>
                    <w:right w:val="single" w:color="000000" w:sz="4" w:space="0"/>
                  </w:tcBorders>
                  <w:vAlign w:val="center"/>
                </w:tcPr>
                <w:p>
                  <w:pPr>
                    <w:widowControl/>
                    <w:jc w:val="center"/>
                    <w:textAlignment w:val="center"/>
                    <w:rPr>
                      <w:b/>
                      <w:bCs/>
                      <w:kern w:val="0"/>
                      <w:lang w:bidi="ar"/>
                    </w:rPr>
                  </w:pPr>
                  <w:r>
                    <w:rPr>
                      <w:rFonts w:hint="eastAsia"/>
                      <w:b/>
                      <w:bCs/>
                      <w:kern w:val="0"/>
                      <w:szCs w:val="21"/>
                      <w:lang w:bidi="ar"/>
                    </w:rPr>
                    <w:t>检测</w:t>
                  </w:r>
                  <w:r>
                    <w:rPr>
                      <w:b/>
                      <w:bCs/>
                      <w:kern w:val="0"/>
                      <w:szCs w:val="21"/>
                      <w:lang w:bidi="ar"/>
                    </w:rPr>
                    <w:t>结果</w:t>
                  </w:r>
                </w:p>
              </w:tc>
              <w:tc>
                <w:tcPr>
                  <w:tcW w:w="474" w:type="pct"/>
                  <w:vMerge w:val="restart"/>
                  <w:tcBorders>
                    <w:right w:val="single" w:color="000000" w:sz="4" w:space="0"/>
                  </w:tcBorders>
                  <w:vAlign w:val="center"/>
                </w:tcPr>
                <w:p>
                  <w:pPr>
                    <w:widowControl/>
                    <w:jc w:val="center"/>
                    <w:textAlignment w:val="center"/>
                    <w:rPr>
                      <w:b/>
                      <w:bCs/>
                      <w:kern w:val="0"/>
                      <w:szCs w:val="21"/>
                      <w:lang w:bidi="ar"/>
                    </w:rPr>
                  </w:pPr>
                  <w:r>
                    <w:rPr>
                      <w:rFonts w:hint="eastAsia"/>
                      <w:b/>
                      <w:bCs/>
                      <w:kern w:val="0"/>
                      <w:szCs w:val="21"/>
                      <w:lang w:bidi="ar"/>
                    </w:rPr>
                    <w:t>标准值</w:t>
                  </w:r>
                </w:p>
              </w:tc>
              <w:tc>
                <w:tcPr>
                  <w:tcW w:w="593" w:type="pct"/>
                  <w:vMerge w:val="restart"/>
                  <w:vAlign w:val="center"/>
                </w:tcPr>
                <w:p>
                  <w:pPr>
                    <w:widowControl/>
                    <w:jc w:val="center"/>
                    <w:textAlignment w:val="center"/>
                    <w:rPr>
                      <w:b/>
                      <w:bCs/>
                      <w:kern w:val="0"/>
                      <w:szCs w:val="21"/>
                      <w:lang w:bidi="ar"/>
                    </w:rPr>
                  </w:pPr>
                  <w:r>
                    <w:rPr>
                      <w:rFonts w:hint="eastAsia"/>
                      <w:b/>
                      <w:bCs/>
                      <w:kern w:val="0"/>
                      <w:szCs w:val="21"/>
                      <w:lang w:bidi="ar"/>
                    </w:rPr>
                    <w:t>占标率%</w:t>
                  </w:r>
                </w:p>
              </w:tc>
              <w:tc>
                <w:tcPr>
                  <w:tcW w:w="593" w:type="pct"/>
                  <w:vMerge w:val="restart"/>
                  <w:tcBorders>
                    <w:right w:val="single" w:color="000000" w:sz="4" w:space="0"/>
                  </w:tcBorders>
                </w:tcPr>
                <w:p>
                  <w:pPr>
                    <w:widowControl/>
                    <w:jc w:val="center"/>
                    <w:textAlignment w:val="center"/>
                    <w:rPr>
                      <w:b/>
                      <w:bCs/>
                      <w:kern w:val="0"/>
                      <w:szCs w:val="21"/>
                      <w:lang w:bidi="ar"/>
                    </w:rPr>
                  </w:pPr>
                  <w:r>
                    <w:rPr>
                      <w:rFonts w:hint="eastAsia"/>
                      <w:b/>
                      <w:bCs/>
                      <w:kern w:val="0"/>
                      <w:szCs w:val="21"/>
                      <w:lang w:bidi="ar"/>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714" w:type="pct"/>
                  <w:vMerge w:val="continue"/>
                  <w:vAlign w:val="center"/>
                </w:tcPr>
                <w:p>
                  <w:pPr>
                    <w:widowControl/>
                    <w:jc w:val="center"/>
                    <w:textAlignment w:val="center"/>
                    <w:rPr>
                      <w:b/>
                      <w:bCs/>
                    </w:rPr>
                  </w:pPr>
                </w:p>
              </w:tc>
              <w:tc>
                <w:tcPr>
                  <w:tcW w:w="1110" w:type="pct"/>
                  <w:vMerge w:val="continue"/>
                  <w:vAlign w:val="center"/>
                </w:tcPr>
                <w:p>
                  <w:pPr>
                    <w:widowControl/>
                    <w:jc w:val="center"/>
                    <w:textAlignment w:val="center"/>
                    <w:rPr>
                      <w:b/>
                      <w:bCs/>
                      <w:kern w:val="0"/>
                      <w:lang w:bidi="ar"/>
                    </w:rPr>
                  </w:pPr>
                </w:p>
              </w:tc>
              <w:tc>
                <w:tcPr>
                  <w:tcW w:w="697" w:type="pct"/>
                  <w:vMerge w:val="continue"/>
                  <w:vAlign w:val="center"/>
                </w:tcPr>
                <w:p>
                  <w:pPr>
                    <w:widowControl/>
                    <w:jc w:val="center"/>
                    <w:textAlignment w:val="center"/>
                    <w:rPr>
                      <w:b/>
                      <w:bCs/>
                      <w:kern w:val="0"/>
                      <w:lang w:bidi="ar"/>
                    </w:rPr>
                  </w:pPr>
                </w:p>
              </w:tc>
              <w:tc>
                <w:tcPr>
                  <w:tcW w:w="819" w:type="pct"/>
                  <w:tcBorders>
                    <w:right w:val="single" w:color="000000" w:sz="4" w:space="0"/>
                  </w:tcBorders>
                  <w:vAlign w:val="center"/>
                </w:tcPr>
                <w:p>
                  <w:pPr>
                    <w:widowControl/>
                    <w:jc w:val="center"/>
                    <w:textAlignment w:val="center"/>
                    <w:rPr>
                      <w:b/>
                      <w:bCs/>
                      <w:kern w:val="0"/>
                      <w:lang w:bidi="ar"/>
                    </w:rPr>
                  </w:pPr>
                  <w:r>
                    <w:rPr>
                      <w:b/>
                      <w:bCs/>
                      <w:kern w:val="0"/>
                      <w:szCs w:val="21"/>
                      <w:lang w:bidi="ar"/>
                    </w:rPr>
                    <w:t>TSP</w:t>
                  </w:r>
                </w:p>
              </w:tc>
              <w:tc>
                <w:tcPr>
                  <w:tcW w:w="474" w:type="pct"/>
                  <w:vMerge w:val="continue"/>
                  <w:tcBorders>
                    <w:right w:val="single" w:color="000000" w:sz="4" w:space="0"/>
                  </w:tcBorders>
                  <w:vAlign w:val="center"/>
                </w:tcPr>
                <w:p>
                  <w:pPr>
                    <w:widowControl/>
                    <w:jc w:val="center"/>
                    <w:textAlignment w:val="center"/>
                    <w:rPr>
                      <w:b/>
                      <w:bCs/>
                      <w:kern w:val="0"/>
                      <w:szCs w:val="21"/>
                      <w:lang w:bidi="ar"/>
                    </w:rPr>
                  </w:pPr>
                </w:p>
              </w:tc>
              <w:tc>
                <w:tcPr>
                  <w:tcW w:w="593" w:type="pct"/>
                  <w:vMerge w:val="continue"/>
                  <w:vAlign w:val="center"/>
                </w:tcPr>
                <w:p>
                  <w:pPr>
                    <w:widowControl/>
                    <w:jc w:val="center"/>
                    <w:textAlignment w:val="center"/>
                    <w:rPr>
                      <w:b/>
                      <w:bCs/>
                      <w:kern w:val="0"/>
                      <w:szCs w:val="21"/>
                      <w:lang w:bidi="ar"/>
                    </w:rPr>
                  </w:pPr>
                </w:p>
              </w:tc>
              <w:tc>
                <w:tcPr>
                  <w:tcW w:w="593" w:type="pct"/>
                  <w:vMerge w:val="continue"/>
                  <w:tcBorders>
                    <w:right w:val="single" w:color="000000" w:sz="4" w:space="0"/>
                  </w:tcBorders>
                </w:tcPr>
                <w:p>
                  <w:pPr>
                    <w:widowControl/>
                    <w:jc w:val="center"/>
                    <w:textAlignment w:val="center"/>
                    <w:rPr>
                      <w:b/>
                      <w:bCs/>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714" w:type="pct"/>
                  <w:vAlign w:val="center"/>
                </w:tcPr>
                <w:p>
                  <w:pPr>
                    <w:widowControl/>
                    <w:jc w:val="center"/>
                    <w:textAlignment w:val="center"/>
                    <w:rPr>
                      <w:kern w:val="0"/>
                      <w:lang w:bidi="ar"/>
                    </w:rPr>
                  </w:pPr>
                  <w:r>
                    <w:rPr>
                      <w:kern w:val="0"/>
                      <w:szCs w:val="21"/>
                      <w:lang w:bidi="ar"/>
                    </w:rPr>
                    <w:t>2023</w:t>
                  </w:r>
                  <w:r>
                    <w:rPr>
                      <w:rFonts w:hint="eastAsia"/>
                      <w:kern w:val="0"/>
                      <w:szCs w:val="21"/>
                      <w:lang w:bidi="ar"/>
                    </w:rPr>
                    <w:t>.</w:t>
                  </w:r>
                  <w:r>
                    <w:rPr>
                      <w:kern w:val="0"/>
                      <w:szCs w:val="21"/>
                      <w:lang w:bidi="ar"/>
                    </w:rPr>
                    <w:t>04</w:t>
                  </w:r>
                  <w:r>
                    <w:rPr>
                      <w:rFonts w:hint="eastAsia"/>
                      <w:kern w:val="0"/>
                      <w:szCs w:val="21"/>
                      <w:lang w:bidi="ar"/>
                    </w:rPr>
                    <w:t>.</w:t>
                  </w:r>
                  <w:r>
                    <w:rPr>
                      <w:kern w:val="0"/>
                      <w:szCs w:val="21"/>
                      <w:lang w:bidi="ar"/>
                    </w:rPr>
                    <w:t>11</w:t>
                  </w:r>
                </w:p>
              </w:tc>
              <w:tc>
                <w:tcPr>
                  <w:tcW w:w="1110" w:type="pct"/>
                  <w:vAlign w:val="center"/>
                </w:tcPr>
                <w:p>
                  <w:pPr>
                    <w:jc w:val="center"/>
                    <w:rPr>
                      <w:kern w:val="0"/>
                      <w:lang w:bidi="ar"/>
                    </w:rPr>
                  </w:pPr>
                  <w:r>
                    <w:rPr>
                      <w:szCs w:val="21"/>
                    </w:rPr>
                    <w:t>08:00-次日08:00</w:t>
                  </w:r>
                </w:p>
              </w:tc>
              <w:tc>
                <w:tcPr>
                  <w:tcW w:w="697" w:type="pct"/>
                  <w:vMerge w:val="restart"/>
                  <w:vAlign w:val="center"/>
                </w:tcPr>
                <w:p>
                  <w:pPr>
                    <w:widowControl/>
                    <w:jc w:val="center"/>
                    <w:textAlignment w:val="center"/>
                    <w:rPr>
                      <w:kern w:val="0"/>
                      <w:lang w:bidi="ar"/>
                    </w:rPr>
                  </w:pPr>
                  <w:r>
                    <w:rPr>
                      <w:rFonts w:hint="eastAsia"/>
                    </w:rPr>
                    <w:t>西北侧下笼嘎散户</w:t>
                  </w:r>
                </w:p>
              </w:tc>
              <w:tc>
                <w:tcPr>
                  <w:tcW w:w="819" w:type="pct"/>
                  <w:vAlign w:val="center"/>
                </w:tcPr>
                <w:p>
                  <w:pPr>
                    <w:widowControl/>
                    <w:jc w:val="center"/>
                    <w:textAlignment w:val="center"/>
                    <w:rPr>
                      <w:kern w:val="0"/>
                      <w:lang w:bidi="ar"/>
                    </w:rPr>
                  </w:pPr>
                  <w:r>
                    <w:rPr>
                      <w:rFonts w:hint="eastAsia"/>
                      <w:kern w:val="0"/>
                      <w:lang w:bidi="ar"/>
                    </w:rPr>
                    <w:t>1</w:t>
                  </w:r>
                  <w:r>
                    <w:rPr>
                      <w:kern w:val="0"/>
                      <w:lang w:bidi="ar"/>
                    </w:rPr>
                    <w:t>84</w:t>
                  </w:r>
                </w:p>
              </w:tc>
              <w:tc>
                <w:tcPr>
                  <w:tcW w:w="474" w:type="pct"/>
                  <w:vMerge w:val="restart"/>
                  <w:vAlign w:val="center"/>
                </w:tcPr>
                <w:p>
                  <w:pPr>
                    <w:widowControl/>
                    <w:jc w:val="center"/>
                    <w:textAlignment w:val="center"/>
                    <w:rPr>
                      <w:kern w:val="0"/>
                      <w:lang w:bidi="ar"/>
                    </w:rPr>
                  </w:pPr>
                  <w:r>
                    <w:rPr>
                      <w:rFonts w:hint="eastAsia"/>
                      <w:kern w:val="0"/>
                      <w:lang w:bidi="ar"/>
                    </w:rPr>
                    <w:t>3</w:t>
                  </w:r>
                  <w:r>
                    <w:rPr>
                      <w:kern w:val="0"/>
                      <w:lang w:bidi="ar"/>
                    </w:rPr>
                    <w:t>00</w:t>
                  </w:r>
                </w:p>
              </w:tc>
              <w:tc>
                <w:tcPr>
                  <w:tcW w:w="593" w:type="pct"/>
                  <w:vAlign w:val="center"/>
                </w:tcPr>
                <w:p>
                  <w:pPr>
                    <w:widowControl/>
                    <w:jc w:val="center"/>
                    <w:textAlignment w:val="center"/>
                    <w:rPr>
                      <w:kern w:val="0"/>
                      <w:lang w:bidi="ar"/>
                    </w:rPr>
                  </w:pPr>
                  <w:r>
                    <w:rPr>
                      <w:rFonts w:hint="eastAsia"/>
                      <w:kern w:val="0"/>
                      <w:lang w:bidi="ar"/>
                    </w:rPr>
                    <w:t>6</w:t>
                  </w:r>
                  <w:r>
                    <w:rPr>
                      <w:kern w:val="0"/>
                      <w:lang w:bidi="ar"/>
                    </w:rPr>
                    <w:t>1.33</w:t>
                  </w:r>
                </w:p>
              </w:tc>
              <w:tc>
                <w:tcPr>
                  <w:tcW w:w="593" w:type="pct"/>
                  <w:vAlign w:val="center"/>
                </w:tcPr>
                <w:p>
                  <w:pPr>
                    <w:widowControl/>
                    <w:jc w:val="center"/>
                    <w:textAlignment w:val="center"/>
                    <w:rPr>
                      <w:kern w:val="0"/>
                      <w:lang w:bidi="ar"/>
                    </w:rPr>
                  </w:pPr>
                  <w:r>
                    <w:rPr>
                      <w:rFonts w:hint="eastAsia"/>
                      <w:kern w:val="0"/>
                      <w:lang w:bidi="ar"/>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714" w:type="pct"/>
                  <w:vAlign w:val="center"/>
                </w:tcPr>
                <w:p>
                  <w:pPr>
                    <w:widowControl/>
                    <w:jc w:val="center"/>
                    <w:textAlignment w:val="center"/>
                    <w:rPr>
                      <w:kern w:val="0"/>
                      <w:lang w:bidi="ar"/>
                    </w:rPr>
                  </w:pPr>
                  <w:r>
                    <w:rPr>
                      <w:kern w:val="0"/>
                      <w:szCs w:val="21"/>
                      <w:lang w:bidi="ar"/>
                    </w:rPr>
                    <w:t>2023</w:t>
                  </w:r>
                  <w:r>
                    <w:rPr>
                      <w:rFonts w:hint="eastAsia"/>
                      <w:kern w:val="0"/>
                      <w:szCs w:val="21"/>
                      <w:lang w:bidi="ar"/>
                    </w:rPr>
                    <w:t>.</w:t>
                  </w:r>
                  <w:r>
                    <w:rPr>
                      <w:kern w:val="0"/>
                      <w:szCs w:val="21"/>
                      <w:lang w:bidi="ar"/>
                    </w:rPr>
                    <w:t>04</w:t>
                  </w:r>
                  <w:r>
                    <w:rPr>
                      <w:rFonts w:hint="eastAsia"/>
                      <w:kern w:val="0"/>
                      <w:szCs w:val="21"/>
                      <w:lang w:bidi="ar"/>
                    </w:rPr>
                    <w:t>.</w:t>
                  </w:r>
                  <w:r>
                    <w:rPr>
                      <w:kern w:val="0"/>
                      <w:szCs w:val="21"/>
                      <w:lang w:bidi="ar"/>
                    </w:rPr>
                    <w:t>12</w:t>
                  </w:r>
                </w:p>
              </w:tc>
              <w:tc>
                <w:tcPr>
                  <w:tcW w:w="1110" w:type="pct"/>
                  <w:vAlign w:val="center"/>
                </w:tcPr>
                <w:p>
                  <w:pPr>
                    <w:jc w:val="center"/>
                    <w:rPr>
                      <w:kern w:val="0"/>
                      <w:lang w:bidi="ar"/>
                    </w:rPr>
                  </w:pPr>
                  <w:r>
                    <w:rPr>
                      <w:szCs w:val="21"/>
                    </w:rPr>
                    <w:t>08:05-次日08:05</w:t>
                  </w:r>
                </w:p>
              </w:tc>
              <w:tc>
                <w:tcPr>
                  <w:tcW w:w="697" w:type="pct"/>
                  <w:vMerge w:val="continue"/>
                  <w:vAlign w:val="center"/>
                </w:tcPr>
                <w:p>
                  <w:pPr>
                    <w:widowControl/>
                    <w:jc w:val="center"/>
                    <w:textAlignment w:val="center"/>
                    <w:rPr>
                      <w:kern w:val="0"/>
                      <w:lang w:bidi="ar"/>
                    </w:rPr>
                  </w:pPr>
                </w:p>
              </w:tc>
              <w:tc>
                <w:tcPr>
                  <w:tcW w:w="819" w:type="pct"/>
                  <w:vAlign w:val="center"/>
                </w:tcPr>
                <w:p>
                  <w:pPr>
                    <w:widowControl/>
                    <w:jc w:val="center"/>
                    <w:textAlignment w:val="center"/>
                    <w:rPr>
                      <w:kern w:val="0"/>
                      <w:lang w:bidi="ar"/>
                    </w:rPr>
                  </w:pPr>
                  <w:r>
                    <w:rPr>
                      <w:rFonts w:hint="eastAsia"/>
                      <w:kern w:val="0"/>
                      <w:lang w:bidi="ar"/>
                    </w:rPr>
                    <w:t>1</w:t>
                  </w:r>
                  <w:r>
                    <w:rPr>
                      <w:kern w:val="0"/>
                      <w:lang w:bidi="ar"/>
                    </w:rPr>
                    <w:t>79</w:t>
                  </w:r>
                </w:p>
              </w:tc>
              <w:tc>
                <w:tcPr>
                  <w:tcW w:w="474" w:type="pct"/>
                  <w:vMerge w:val="continue"/>
                  <w:vAlign w:val="center"/>
                </w:tcPr>
                <w:p>
                  <w:pPr>
                    <w:widowControl/>
                    <w:jc w:val="center"/>
                    <w:textAlignment w:val="center"/>
                    <w:rPr>
                      <w:kern w:val="0"/>
                      <w:lang w:bidi="ar"/>
                    </w:rPr>
                  </w:pPr>
                </w:p>
              </w:tc>
              <w:tc>
                <w:tcPr>
                  <w:tcW w:w="593" w:type="pct"/>
                  <w:vAlign w:val="center"/>
                </w:tcPr>
                <w:p>
                  <w:pPr>
                    <w:widowControl/>
                    <w:jc w:val="center"/>
                    <w:textAlignment w:val="center"/>
                    <w:rPr>
                      <w:kern w:val="0"/>
                      <w:lang w:bidi="ar"/>
                    </w:rPr>
                  </w:pPr>
                  <w:r>
                    <w:rPr>
                      <w:rFonts w:hint="eastAsia"/>
                      <w:kern w:val="0"/>
                      <w:lang w:bidi="ar"/>
                    </w:rPr>
                    <w:t>5</w:t>
                  </w:r>
                  <w:r>
                    <w:rPr>
                      <w:kern w:val="0"/>
                      <w:lang w:bidi="ar"/>
                    </w:rPr>
                    <w:t>9.67</w:t>
                  </w:r>
                </w:p>
              </w:tc>
              <w:tc>
                <w:tcPr>
                  <w:tcW w:w="593" w:type="pct"/>
                  <w:vAlign w:val="center"/>
                </w:tcPr>
                <w:p>
                  <w:pPr>
                    <w:widowControl/>
                    <w:jc w:val="center"/>
                    <w:textAlignment w:val="center"/>
                    <w:rPr>
                      <w:kern w:val="0"/>
                      <w:lang w:bidi="ar"/>
                    </w:rPr>
                  </w:pPr>
                  <w:r>
                    <w:rPr>
                      <w:rFonts w:hint="eastAsia"/>
                      <w:kern w:val="0"/>
                      <w:lang w:bidi="ar"/>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714" w:type="pct"/>
                  <w:vAlign w:val="center"/>
                </w:tcPr>
                <w:p>
                  <w:pPr>
                    <w:widowControl/>
                    <w:jc w:val="center"/>
                    <w:textAlignment w:val="center"/>
                    <w:rPr>
                      <w:kern w:val="0"/>
                      <w:lang w:bidi="ar"/>
                    </w:rPr>
                  </w:pPr>
                  <w:r>
                    <w:rPr>
                      <w:kern w:val="0"/>
                      <w:szCs w:val="21"/>
                      <w:lang w:bidi="ar"/>
                    </w:rPr>
                    <w:t>2023</w:t>
                  </w:r>
                  <w:r>
                    <w:rPr>
                      <w:rFonts w:hint="eastAsia"/>
                      <w:kern w:val="0"/>
                      <w:szCs w:val="21"/>
                      <w:lang w:bidi="ar"/>
                    </w:rPr>
                    <w:t>.</w:t>
                  </w:r>
                  <w:r>
                    <w:rPr>
                      <w:kern w:val="0"/>
                      <w:szCs w:val="21"/>
                      <w:lang w:bidi="ar"/>
                    </w:rPr>
                    <w:t>04</w:t>
                  </w:r>
                  <w:r>
                    <w:rPr>
                      <w:rFonts w:hint="eastAsia"/>
                      <w:kern w:val="0"/>
                      <w:szCs w:val="21"/>
                      <w:lang w:bidi="ar"/>
                    </w:rPr>
                    <w:t>.</w:t>
                  </w:r>
                  <w:r>
                    <w:rPr>
                      <w:kern w:val="0"/>
                      <w:szCs w:val="21"/>
                      <w:lang w:bidi="ar"/>
                    </w:rPr>
                    <w:t>13</w:t>
                  </w:r>
                </w:p>
              </w:tc>
              <w:tc>
                <w:tcPr>
                  <w:tcW w:w="1110" w:type="pct"/>
                  <w:vAlign w:val="center"/>
                </w:tcPr>
                <w:p>
                  <w:pPr>
                    <w:jc w:val="center"/>
                    <w:rPr>
                      <w:kern w:val="0"/>
                      <w:lang w:bidi="ar"/>
                    </w:rPr>
                  </w:pPr>
                  <w:r>
                    <w:rPr>
                      <w:szCs w:val="21"/>
                    </w:rPr>
                    <w:t>08:10-次日08:10</w:t>
                  </w:r>
                </w:p>
              </w:tc>
              <w:tc>
                <w:tcPr>
                  <w:tcW w:w="697" w:type="pct"/>
                  <w:vMerge w:val="continue"/>
                  <w:vAlign w:val="center"/>
                </w:tcPr>
                <w:p>
                  <w:pPr>
                    <w:widowControl/>
                    <w:jc w:val="center"/>
                    <w:textAlignment w:val="center"/>
                    <w:rPr>
                      <w:kern w:val="0"/>
                      <w:lang w:bidi="ar"/>
                    </w:rPr>
                  </w:pPr>
                </w:p>
              </w:tc>
              <w:tc>
                <w:tcPr>
                  <w:tcW w:w="819" w:type="pct"/>
                  <w:vAlign w:val="center"/>
                </w:tcPr>
                <w:p>
                  <w:pPr>
                    <w:widowControl/>
                    <w:jc w:val="center"/>
                    <w:textAlignment w:val="center"/>
                    <w:rPr>
                      <w:kern w:val="0"/>
                      <w:lang w:bidi="ar"/>
                    </w:rPr>
                  </w:pPr>
                  <w:r>
                    <w:rPr>
                      <w:rFonts w:hint="eastAsia"/>
                      <w:kern w:val="0"/>
                      <w:lang w:bidi="ar"/>
                    </w:rPr>
                    <w:t>1</w:t>
                  </w:r>
                  <w:r>
                    <w:rPr>
                      <w:kern w:val="0"/>
                      <w:lang w:bidi="ar"/>
                    </w:rPr>
                    <w:t>87</w:t>
                  </w:r>
                </w:p>
              </w:tc>
              <w:tc>
                <w:tcPr>
                  <w:tcW w:w="474" w:type="pct"/>
                  <w:vMerge w:val="continue"/>
                  <w:vAlign w:val="center"/>
                </w:tcPr>
                <w:p>
                  <w:pPr>
                    <w:widowControl/>
                    <w:jc w:val="center"/>
                    <w:textAlignment w:val="center"/>
                    <w:rPr>
                      <w:kern w:val="0"/>
                      <w:lang w:bidi="ar"/>
                    </w:rPr>
                  </w:pPr>
                </w:p>
              </w:tc>
              <w:tc>
                <w:tcPr>
                  <w:tcW w:w="593" w:type="pct"/>
                  <w:vAlign w:val="center"/>
                </w:tcPr>
                <w:p>
                  <w:pPr>
                    <w:widowControl/>
                    <w:jc w:val="center"/>
                    <w:textAlignment w:val="center"/>
                    <w:rPr>
                      <w:kern w:val="0"/>
                      <w:lang w:bidi="ar"/>
                    </w:rPr>
                  </w:pPr>
                  <w:r>
                    <w:rPr>
                      <w:rFonts w:hint="eastAsia"/>
                      <w:kern w:val="0"/>
                      <w:lang w:bidi="ar"/>
                    </w:rPr>
                    <w:t>6</w:t>
                  </w:r>
                  <w:r>
                    <w:rPr>
                      <w:kern w:val="0"/>
                      <w:lang w:bidi="ar"/>
                    </w:rPr>
                    <w:t>2.33</w:t>
                  </w:r>
                </w:p>
              </w:tc>
              <w:tc>
                <w:tcPr>
                  <w:tcW w:w="593" w:type="pct"/>
                  <w:vAlign w:val="center"/>
                </w:tcPr>
                <w:p>
                  <w:pPr>
                    <w:widowControl/>
                    <w:jc w:val="center"/>
                    <w:textAlignment w:val="center"/>
                    <w:rPr>
                      <w:kern w:val="0"/>
                      <w:lang w:bidi="ar"/>
                    </w:rPr>
                  </w:pPr>
                  <w:r>
                    <w:rPr>
                      <w:rFonts w:hint="eastAsia"/>
                      <w:kern w:val="0"/>
                      <w:lang w:bidi="ar"/>
                    </w:rPr>
                    <w:t>达标</w:t>
                  </w:r>
                </w:p>
              </w:tc>
            </w:tr>
            <w:bookmarkEnd w:id="41"/>
          </w:tbl>
          <w:p>
            <w:pPr>
              <w:pStyle w:val="43"/>
              <w:ind w:firstLine="480"/>
              <w:jc w:val="both"/>
              <w:rPr>
                <w:rFonts w:ascii="Times New Roman" w:hAnsi="Times New Roman"/>
                <w:spacing w:val="-4"/>
              </w:rPr>
            </w:pPr>
            <w:r>
              <w:rPr>
                <w:rFonts w:hint="eastAsia"/>
              </w:rPr>
              <w:t>根据上表分析，</w:t>
            </w:r>
            <w:r>
              <w:rPr>
                <w:rFonts w:hint="eastAsia" w:ascii="Times New Roman" w:hAnsi="Times New Roman"/>
                <w:spacing w:val="-4"/>
              </w:rPr>
              <w:t>项目所在区域环境空气中，特征污染物（TSP）现状质量可达《环境空气质量标准》（GB 3095-2012）二级标准限值要求。</w:t>
            </w:r>
          </w:p>
          <w:p>
            <w:pPr>
              <w:pStyle w:val="43"/>
              <w:ind w:firstLine="480"/>
              <w:jc w:val="both"/>
              <w:rPr>
                <w:rFonts w:ascii="Times New Roman" w:hAnsi="Times New Roman"/>
                <w:color w:val="0000FF"/>
              </w:rPr>
            </w:pPr>
            <w:r>
              <w:rPr>
                <w:rFonts w:ascii="Times New Roman" w:hAnsi="Times New Roman"/>
                <w:color w:val="0000FF"/>
              </w:rPr>
              <w:t>综上分析，</w:t>
            </w:r>
            <w:r>
              <w:rPr>
                <w:rFonts w:hint="eastAsia" w:ascii="Times New Roman" w:hAnsi="Times New Roman"/>
                <w:color w:val="0000FF"/>
                <w:spacing w:val="-4"/>
              </w:rPr>
              <w:t>根据《迪庆州2</w:t>
            </w:r>
            <w:r>
              <w:rPr>
                <w:rFonts w:ascii="Times New Roman" w:hAnsi="Times New Roman"/>
                <w:color w:val="0000FF"/>
                <w:spacing w:val="-4"/>
              </w:rPr>
              <w:t>022</w:t>
            </w:r>
            <w:r>
              <w:rPr>
                <w:rFonts w:hint="eastAsia" w:ascii="Times New Roman" w:hAnsi="Times New Roman"/>
                <w:color w:val="0000FF"/>
                <w:spacing w:val="-4"/>
              </w:rPr>
              <w:t>年生态环境状况公报》</w:t>
            </w:r>
            <w:r>
              <w:rPr>
                <w:rFonts w:ascii="Times New Roman" w:hAnsi="Times New Roman"/>
                <w:color w:val="0000FF"/>
              </w:rPr>
              <w:t>，区域环境空气中，常规污染物可达《环境空气质量标准》（GB 3095-2012）二级标准限值要求；根据现状补充监测报告（TY[2023]-269，详见</w:t>
            </w:r>
            <w:r>
              <w:rPr>
                <w:rFonts w:ascii="Times New Roman" w:hAnsi="Times New Roman"/>
                <w:b/>
                <w:color w:val="0000FF"/>
                <w:u w:val="single"/>
              </w:rPr>
              <w:t>附件</w:t>
            </w:r>
            <w:r>
              <w:rPr>
                <w:rFonts w:hint="eastAsia" w:ascii="Times New Roman" w:hAnsi="Times New Roman"/>
                <w:b/>
                <w:color w:val="0000FF"/>
                <w:u w:val="single"/>
              </w:rPr>
              <w:t>7</w:t>
            </w:r>
            <w:r>
              <w:rPr>
                <w:rFonts w:ascii="Times New Roman" w:hAnsi="Times New Roman"/>
                <w:color w:val="0000FF"/>
              </w:rPr>
              <w:t>），区域环境空气中，特征污染物可达《环境空气质量标准》（GB 3095-2012）二级标准限值要求</w:t>
            </w:r>
            <w:r>
              <w:rPr>
                <w:rFonts w:hint="eastAsia" w:ascii="Times New Roman" w:hAnsi="Times New Roman"/>
                <w:color w:val="0000FF"/>
              </w:rPr>
              <w:t>，项目所在区域属环境空气达标区。</w:t>
            </w:r>
          </w:p>
          <w:bookmarkEnd w:id="40"/>
          <w:p>
            <w:pPr>
              <w:spacing w:line="360" w:lineRule="auto"/>
              <w:rPr>
                <w:rFonts w:ascii="黑体" w:hAnsi="黑体" w:eastAsia="黑体"/>
                <w:b/>
                <w:bCs/>
                <w:kern w:val="0"/>
                <w:sz w:val="24"/>
              </w:rPr>
            </w:pPr>
            <w:r>
              <w:rPr>
                <w:rFonts w:hint="eastAsia" w:ascii="黑体" w:hAnsi="黑体" w:eastAsia="黑体"/>
                <w:b/>
                <w:bCs/>
                <w:kern w:val="0"/>
                <w:sz w:val="24"/>
              </w:rPr>
              <w:t>（二）地表水环境质量现状</w:t>
            </w:r>
          </w:p>
          <w:p>
            <w:pPr>
              <w:pStyle w:val="43"/>
              <w:ind w:firstLine="0" w:firstLineChars="0"/>
              <w:jc w:val="both"/>
              <w:rPr>
                <w:rFonts w:ascii="Times New Roman" w:hAnsi="Times New Roman"/>
                <w:b/>
                <w:bCs/>
                <w:spacing w:val="-4"/>
              </w:rPr>
            </w:pPr>
            <w:r>
              <w:rPr>
                <w:rFonts w:hint="eastAsia" w:ascii="Times New Roman" w:hAnsi="Times New Roman"/>
                <w:b/>
                <w:bCs/>
                <w:spacing w:val="-4"/>
              </w:rPr>
              <w:t>1、区域地表水环境质量标准</w:t>
            </w:r>
          </w:p>
          <w:p>
            <w:pPr>
              <w:spacing w:line="360" w:lineRule="auto"/>
              <w:ind w:firstLine="480" w:firstLineChars="200"/>
              <w:rPr>
                <w:sz w:val="24"/>
              </w:rPr>
            </w:pPr>
            <w:r>
              <w:rPr>
                <w:rFonts w:hint="eastAsia" w:cs="宋体"/>
                <w:sz w:val="24"/>
              </w:rPr>
              <w:t>根据现场踏勘调查，距项目最近地表水体为项目区东侧约</w:t>
            </w:r>
            <w:r>
              <w:rPr>
                <w:rFonts w:cs="宋体"/>
                <w:sz w:val="24"/>
              </w:rPr>
              <w:t>180</w:t>
            </w:r>
            <w:r>
              <w:rPr>
                <w:rFonts w:hint="eastAsia" w:cs="宋体"/>
                <w:sz w:val="24"/>
              </w:rPr>
              <w:t>m处的澜沧江干流。根据《云南省水功能区划（2</w:t>
            </w:r>
            <w:r>
              <w:rPr>
                <w:rFonts w:cs="宋体"/>
                <w:sz w:val="24"/>
              </w:rPr>
              <w:t>014</w:t>
            </w:r>
            <w:r>
              <w:rPr>
                <w:rFonts w:hint="eastAsia" w:cs="宋体"/>
                <w:sz w:val="24"/>
              </w:rPr>
              <w:t>年修订）》（云政复[</w:t>
            </w:r>
            <w:r>
              <w:rPr>
                <w:rFonts w:cs="宋体"/>
                <w:sz w:val="24"/>
              </w:rPr>
              <w:t>2014]27</w:t>
            </w:r>
            <w:r>
              <w:rPr>
                <w:rFonts w:hint="eastAsia" w:cs="宋体"/>
                <w:sz w:val="24"/>
              </w:rPr>
              <w:t>号），澜沧江（德钦红山-兰坪兔蛾）规划水平年（2</w:t>
            </w:r>
            <w:r>
              <w:rPr>
                <w:rFonts w:cs="宋体"/>
                <w:sz w:val="24"/>
              </w:rPr>
              <w:t>020-2030</w:t>
            </w:r>
            <w:r>
              <w:rPr>
                <w:rFonts w:hint="eastAsia" w:cs="宋体"/>
                <w:sz w:val="24"/>
              </w:rPr>
              <w:t>年）水质目标为II类，标准值如下：</w:t>
            </w:r>
          </w:p>
          <w:p>
            <w:pPr>
              <w:pStyle w:val="14"/>
              <w:spacing w:before="0" w:line="240" w:lineRule="auto"/>
              <w:ind w:left="0" w:leftChars="0" w:right="0" w:rightChars="0" w:firstLine="0" w:firstLineChars="0"/>
              <w:jc w:val="center"/>
              <w:rPr>
                <w:rFonts w:ascii="Times New Roman" w:hAnsi="Times New Roman"/>
                <w:b/>
                <w:bCs/>
                <w:color w:val="auto"/>
                <w:szCs w:val="24"/>
              </w:rPr>
            </w:pPr>
            <w:r>
              <w:rPr>
                <w:rFonts w:ascii="Times New Roman" w:hAnsi="Times New Roman"/>
                <w:b/>
                <w:bCs/>
                <w:color w:val="auto"/>
                <w:szCs w:val="24"/>
              </w:rPr>
              <w:t>表3.2-1  地表水环境质量标准   单位：mg/L（pH无量纲）</w:t>
            </w:r>
          </w:p>
          <w:tbl>
            <w:tblPr>
              <w:tblStyle w:val="7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2657"/>
              <w:gridCol w:w="4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dxa"/>
                  <w:vAlign w:val="center"/>
                </w:tcPr>
                <w:p>
                  <w:pPr>
                    <w:snapToGrid w:val="0"/>
                    <w:jc w:val="center"/>
                    <w:rPr>
                      <w:b/>
                      <w:bCs/>
                      <w:szCs w:val="21"/>
                    </w:rPr>
                  </w:pPr>
                  <w:r>
                    <w:rPr>
                      <w:b/>
                      <w:bCs/>
                      <w:szCs w:val="21"/>
                    </w:rPr>
                    <w:t>序号</w:t>
                  </w:r>
                </w:p>
              </w:tc>
              <w:tc>
                <w:tcPr>
                  <w:tcW w:w="2693" w:type="dxa"/>
                  <w:vAlign w:val="center"/>
                </w:tcPr>
                <w:p>
                  <w:pPr>
                    <w:jc w:val="center"/>
                    <w:rPr>
                      <w:b/>
                      <w:bCs/>
                      <w:szCs w:val="21"/>
                    </w:rPr>
                  </w:pPr>
                  <w:r>
                    <w:rPr>
                      <w:b/>
                      <w:bCs/>
                      <w:szCs w:val="21"/>
                    </w:rPr>
                    <w:t>项目标准值分类</w:t>
                  </w:r>
                </w:p>
              </w:tc>
              <w:tc>
                <w:tcPr>
                  <w:tcW w:w="4904" w:type="dxa"/>
                  <w:vAlign w:val="center"/>
                </w:tcPr>
                <w:p>
                  <w:pPr>
                    <w:jc w:val="center"/>
                    <w:rPr>
                      <w:szCs w:val="21"/>
                    </w:rPr>
                  </w:pPr>
                  <w:r>
                    <w:rPr>
                      <w:b/>
                      <w:bCs/>
                      <w:szCs w:val="21"/>
                    </w:rPr>
                    <w:t>II类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dxa"/>
                  <w:vAlign w:val="center"/>
                </w:tcPr>
                <w:p>
                  <w:pPr>
                    <w:jc w:val="center"/>
                    <w:rPr>
                      <w:szCs w:val="21"/>
                    </w:rPr>
                  </w:pPr>
                  <w:r>
                    <w:rPr>
                      <w:szCs w:val="21"/>
                    </w:rPr>
                    <w:t>1</w:t>
                  </w:r>
                </w:p>
              </w:tc>
              <w:tc>
                <w:tcPr>
                  <w:tcW w:w="2693" w:type="dxa"/>
                  <w:vAlign w:val="center"/>
                </w:tcPr>
                <w:p>
                  <w:pPr>
                    <w:jc w:val="center"/>
                    <w:rPr>
                      <w:szCs w:val="21"/>
                    </w:rPr>
                  </w:pPr>
                  <w:r>
                    <w:rPr>
                      <w:szCs w:val="21"/>
                    </w:rPr>
                    <w:t>水温（℃）</w:t>
                  </w:r>
                </w:p>
              </w:tc>
              <w:tc>
                <w:tcPr>
                  <w:tcW w:w="4904" w:type="dxa"/>
                  <w:vAlign w:val="center"/>
                </w:tcPr>
                <w:p>
                  <w:pPr>
                    <w:jc w:val="center"/>
                    <w:rPr>
                      <w:szCs w:val="21"/>
                    </w:rPr>
                  </w:pPr>
                  <w:r>
                    <w:rPr>
                      <w:szCs w:val="21"/>
                    </w:rPr>
                    <w:t>人为造成的环境水温变化应限值在：周平均最大升温≤1；周平均最大降温≤2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dxa"/>
                  <w:vAlign w:val="center"/>
                </w:tcPr>
                <w:p>
                  <w:pPr>
                    <w:jc w:val="center"/>
                    <w:rPr>
                      <w:szCs w:val="21"/>
                    </w:rPr>
                  </w:pPr>
                  <w:r>
                    <w:rPr>
                      <w:szCs w:val="21"/>
                    </w:rPr>
                    <w:t>2</w:t>
                  </w:r>
                </w:p>
              </w:tc>
              <w:tc>
                <w:tcPr>
                  <w:tcW w:w="2693" w:type="dxa"/>
                  <w:vAlign w:val="center"/>
                </w:tcPr>
                <w:p>
                  <w:pPr>
                    <w:jc w:val="center"/>
                    <w:rPr>
                      <w:szCs w:val="21"/>
                    </w:rPr>
                  </w:pPr>
                  <w:r>
                    <w:rPr>
                      <w:szCs w:val="21"/>
                    </w:rPr>
                    <w:t>PH值（无量纲）</w:t>
                  </w:r>
                </w:p>
              </w:tc>
              <w:tc>
                <w:tcPr>
                  <w:tcW w:w="4904" w:type="dxa"/>
                  <w:vAlign w:val="center"/>
                </w:tcPr>
                <w:p>
                  <w:pPr>
                    <w:jc w:val="center"/>
                    <w:rPr>
                      <w:szCs w:val="21"/>
                    </w:rPr>
                  </w:pPr>
                  <w:r>
                    <w:rPr>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dxa"/>
                  <w:vAlign w:val="center"/>
                </w:tcPr>
                <w:p>
                  <w:pPr>
                    <w:jc w:val="center"/>
                    <w:rPr>
                      <w:szCs w:val="21"/>
                    </w:rPr>
                  </w:pPr>
                  <w:r>
                    <w:rPr>
                      <w:szCs w:val="21"/>
                    </w:rPr>
                    <w:t>3</w:t>
                  </w:r>
                </w:p>
              </w:tc>
              <w:tc>
                <w:tcPr>
                  <w:tcW w:w="2693" w:type="dxa"/>
                  <w:vAlign w:val="center"/>
                </w:tcPr>
                <w:p>
                  <w:pPr>
                    <w:jc w:val="center"/>
                    <w:rPr>
                      <w:szCs w:val="21"/>
                    </w:rPr>
                  </w:pPr>
                  <w:r>
                    <w:rPr>
                      <w:szCs w:val="21"/>
                    </w:rPr>
                    <w:t>溶解氧</w:t>
                  </w:r>
                </w:p>
              </w:tc>
              <w:tc>
                <w:tcPr>
                  <w:tcW w:w="4904" w:type="dxa"/>
                  <w:vAlign w:val="center"/>
                </w:tcPr>
                <w:p>
                  <w:pPr>
                    <w:jc w:val="center"/>
                    <w:rPr>
                      <w:szCs w:val="21"/>
                    </w:rPr>
                  </w:pPr>
                  <w:r>
                    <w:rPr>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dxa"/>
                  <w:vAlign w:val="center"/>
                </w:tcPr>
                <w:p>
                  <w:pPr>
                    <w:jc w:val="center"/>
                    <w:rPr>
                      <w:szCs w:val="21"/>
                    </w:rPr>
                  </w:pPr>
                  <w:r>
                    <w:rPr>
                      <w:szCs w:val="21"/>
                    </w:rPr>
                    <w:t>4</w:t>
                  </w:r>
                </w:p>
              </w:tc>
              <w:tc>
                <w:tcPr>
                  <w:tcW w:w="2693" w:type="dxa"/>
                  <w:vAlign w:val="center"/>
                </w:tcPr>
                <w:p>
                  <w:pPr>
                    <w:jc w:val="center"/>
                    <w:rPr>
                      <w:szCs w:val="21"/>
                    </w:rPr>
                  </w:pPr>
                  <w:r>
                    <w:rPr>
                      <w:szCs w:val="21"/>
                    </w:rPr>
                    <w:t>高锰酸盐指数</w:t>
                  </w:r>
                </w:p>
              </w:tc>
              <w:tc>
                <w:tcPr>
                  <w:tcW w:w="4904" w:type="dxa"/>
                  <w:vAlign w:val="center"/>
                </w:tcPr>
                <w:p>
                  <w:pPr>
                    <w:jc w:val="center"/>
                    <w:rPr>
                      <w:szCs w:val="21"/>
                    </w:rPr>
                  </w:pPr>
                  <w:r>
                    <w:rPr>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dxa"/>
                  <w:vAlign w:val="center"/>
                </w:tcPr>
                <w:p>
                  <w:pPr>
                    <w:jc w:val="center"/>
                    <w:rPr>
                      <w:szCs w:val="21"/>
                    </w:rPr>
                  </w:pPr>
                  <w:r>
                    <w:rPr>
                      <w:szCs w:val="21"/>
                    </w:rPr>
                    <w:t>5</w:t>
                  </w:r>
                </w:p>
              </w:tc>
              <w:tc>
                <w:tcPr>
                  <w:tcW w:w="2693" w:type="dxa"/>
                  <w:vAlign w:val="center"/>
                </w:tcPr>
                <w:p>
                  <w:pPr>
                    <w:jc w:val="center"/>
                    <w:rPr>
                      <w:szCs w:val="21"/>
                    </w:rPr>
                  </w:pPr>
                  <w:r>
                    <w:rPr>
                      <w:szCs w:val="21"/>
                    </w:rPr>
                    <w:t>化学需氧量（COD）</w:t>
                  </w:r>
                </w:p>
              </w:tc>
              <w:tc>
                <w:tcPr>
                  <w:tcW w:w="4904" w:type="dxa"/>
                  <w:vAlign w:val="center"/>
                </w:tcPr>
                <w:p>
                  <w:pPr>
                    <w:jc w:val="center"/>
                    <w:rPr>
                      <w:szCs w:val="21"/>
                    </w:rPr>
                  </w:pPr>
                  <w:r>
                    <w:rPr>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dxa"/>
                  <w:vAlign w:val="center"/>
                </w:tcPr>
                <w:p>
                  <w:pPr>
                    <w:jc w:val="center"/>
                    <w:rPr>
                      <w:szCs w:val="21"/>
                    </w:rPr>
                  </w:pPr>
                  <w:r>
                    <w:rPr>
                      <w:szCs w:val="21"/>
                    </w:rPr>
                    <w:t>6</w:t>
                  </w:r>
                </w:p>
              </w:tc>
              <w:tc>
                <w:tcPr>
                  <w:tcW w:w="2693" w:type="dxa"/>
                  <w:vAlign w:val="center"/>
                </w:tcPr>
                <w:p>
                  <w:pPr>
                    <w:jc w:val="center"/>
                    <w:rPr>
                      <w:szCs w:val="21"/>
                    </w:rPr>
                  </w:pPr>
                  <w:r>
                    <w:rPr>
                      <w:szCs w:val="21"/>
                    </w:rPr>
                    <w:t>五日生化需氧量（BOD</w:t>
                  </w:r>
                  <w:r>
                    <w:rPr>
                      <w:szCs w:val="21"/>
                      <w:vertAlign w:val="subscript"/>
                    </w:rPr>
                    <w:t>5</w:t>
                  </w:r>
                  <w:r>
                    <w:rPr>
                      <w:szCs w:val="21"/>
                    </w:rPr>
                    <w:t>）</w:t>
                  </w:r>
                </w:p>
              </w:tc>
              <w:tc>
                <w:tcPr>
                  <w:tcW w:w="4904" w:type="dxa"/>
                  <w:vAlign w:val="center"/>
                </w:tcPr>
                <w:p>
                  <w:pPr>
                    <w:jc w:val="center"/>
                    <w:rPr>
                      <w:szCs w:val="21"/>
                    </w:rPr>
                  </w:pPr>
                  <w:r>
                    <w:rPr>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dxa"/>
                  <w:vAlign w:val="center"/>
                </w:tcPr>
                <w:p>
                  <w:pPr>
                    <w:jc w:val="center"/>
                    <w:rPr>
                      <w:szCs w:val="21"/>
                    </w:rPr>
                  </w:pPr>
                  <w:r>
                    <w:rPr>
                      <w:szCs w:val="21"/>
                    </w:rPr>
                    <w:t>7</w:t>
                  </w:r>
                </w:p>
              </w:tc>
              <w:tc>
                <w:tcPr>
                  <w:tcW w:w="2693" w:type="dxa"/>
                  <w:vAlign w:val="center"/>
                </w:tcPr>
                <w:p>
                  <w:pPr>
                    <w:jc w:val="center"/>
                    <w:rPr>
                      <w:szCs w:val="21"/>
                    </w:rPr>
                  </w:pPr>
                  <w:r>
                    <w:rPr>
                      <w:szCs w:val="21"/>
                    </w:rPr>
                    <w:t>氨氮（NH</w:t>
                  </w:r>
                  <w:r>
                    <w:rPr>
                      <w:szCs w:val="21"/>
                      <w:vertAlign w:val="subscript"/>
                    </w:rPr>
                    <w:t>3</w:t>
                  </w:r>
                  <w:r>
                    <w:rPr>
                      <w:szCs w:val="21"/>
                    </w:rPr>
                    <w:t>-N）</w:t>
                  </w:r>
                </w:p>
              </w:tc>
              <w:tc>
                <w:tcPr>
                  <w:tcW w:w="4904" w:type="dxa"/>
                  <w:vAlign w:val="center"/>
                </w:tcPr>
                <w:p>
                  <w:pPr>
                    <w:jc w:val="center"/>
                    <w:rPr>
                      <w:szCs w:val="21"/>
                    </w:rPr>
                  </w:pPr>
                  <w:r>
                    <w:rPr>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dxa"/>
                  <w:vAlign w:val="center"/>
                </w:tcPr>
                <w:p>
                  <w:pPr>
                    <w:jc w:val="center"/>
                    <w:rPr>
                      <w:szCs w:val="21"/>
                    </w:rPr>
                  </w:pPr>
                  <w:r>
                    <w:rPr>
                      <w:szCs w:val="21"/>
                    </w:rPr>
                    <w:t>8</w:t>
                  </w:r>
                </w:p>
              </w:tc>
              <w:tc>
                <w:tcPr>
                  <w:tcW w:w="2693" w:type="dxa"/>
                  <w:vAlign w:val="center"/>
                </w:tcPr>
                <w:p>
                  <w:pPr>
                    <w:jc w:val="center"/>
                    <w:rPr>
                      <w:szCs w:val="21"/>
                    </w:rPr>
                  </w:pPr>
                  <w:r>
                    <w:rPr>
                      <w:szCs w:val="21"/>
                    </w:rPr>
                    <w:t>总氮（湖、库、以N计）</w:t>
                  </w:r>
                </w:p>
              </w:tc>
              <w:tc>
                <w:tcPr>
                  <w:tcW w:w="4904" w:type="dxa"/>
                  <w:vAlign w:val="center"/>
                </w:tcPr>
                <w:p>
                  <w:pPr>
                    <w:jc w:val="center"/>
                    <w:rPr>
                      <w:szCs w:val="21"/>
                    </w:rPr>
                  </w:pPr>
                  <w:r>
                    <w:rPr>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dxa"/>
                  <w:vAlign w:val="center"/>
                </w:tcPr>
                <w:p>
                  <w:pPr>
                    <w:jc w:val="center"/>
                    <w:rPr>
                      <w:szCs w:val="21"/>
                    </w:rPr>
                  </w:pPr>
                  <w:r>
                    <w:rPr>
                      <w:szCs w:val="21"/>
                    </w:rPr>
                    <w:t>9</w:t>
                  </w:r>
                </w:p>
              </w:tc>
              <w:tc>
                <w:tcPr>
                  <w:tcW w:w="2693" w:type="dxa"/>
                  <w:vAlign w:val="center"/>
                </w:tcPr>
                <w:p>
                  <w:pPr>
                    <w:jc w:val="center"/>
                    <w:rPr>
                      <w:szCs w:val="21"/>
                    </w:rPr>
                  </w:pPr>
                  <w:r>
                    <w:rPr>
                      <w:szCs w:val="21"/>
                    </w:rPr>
                    <w:t>总磷（以P计）</w:t>
                  </w:r>
                </w:p>
              </w:tc>
              <w:tc>
                <w:tcPr>
                  <w:tcW w:w="4904" w:type="dxa"/>
                  <w:vAlign w:val="center"/>
                </w:tcPr>
                <w:p>
                  <w:pPr>
                    <w:jc w:val="center"/>
                    <w:rPr>
                      <w:szCs w:val="21"/>
                    </w:rPr>
                  </w:pPr>
                  <w:r>
                    <w:rPr>
                      <w:szCs w:val="21"/>
                    </w:rPr>
                    <w:t>≤0.1（湖、库0.025）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dxa"/>
                  <w:vAlign w:val="center"/>
                </w:tcPr>
                <w:p>
                  <w:pPr>
                    <w:jc w:val="center"/>
                    <w:rPr>
                      <w:szCs w:val="21"/>
                    </w:rPr>
                  </w:pPr>
                  <w:r>
                    <w:rPr>
                      <w:szCs w:val="21"/>
                    </w:rPr>
                    <w:t>10</w:t>
                  </w:r>
                </w:p>
              </w:tc>
              <w:tc>
                <w:tcPr>
                  <w:tcW w:w="2693" w:type="dxa"/>
                  <w:vAlign w:val="center"/>
                </w:tcPr>
                <w:p>
                  <w:pPr>
                    <w:jc w:val="center"/>
                    <w:rPr>
                      <w:szCs w:val="21"/>
                    </w:rPr>
                  </w:pPr>
                  <w:r>
                    <w:rPr>
                      <w:szCs w:val="21"/>
                    </w:rPr>
                    <w:t>铜</w:t>
                  </w:r>
                </w:p>
              </w:tc>
              <w:tc>
                <w:tcPr>
                  <w:tcW w:w="4904" w:type="dxa"/>
                  <w:vAlign w:val="center"/>
                </w:tcPr>
                <w:p>
                  <w:pPr>
                    <w:jc w:val="center"/>
                    <w:rPr>
                      <w:szCs w:val="21"/>
                    </w:rPr>
                  </w:pPr>
                  <w:r>
                    <w:rPr>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dxa"/>
                  <w:vAlign w:val="center"/>
                </w:tcPr>
                <w:p>
                  <w:pPr>
                    <w:jc w:val="center"/>
                    <w:rPr>
                      <w:szCs w:val="21"/>
                    </w:rPr>
                  </w:pPr>
                  <w:r>
                    <w:rPr>
                      <w:szCs w:val="21"/>
                    </w:rPr>
                    <w:t>11</w:t>
                  </w:r>
                </w:p>
              </w:tc>
              <w:tc>
                <w:tcPr>
                  <w:tcW w:w="2693" w:type="dxa"/>
                  <w:vAlign w:val="center"/>
                </w:tcPr>
                <w:p>
                  <w:pPr>
                    <w:jc w:val="center"/>
                    <w:rPr>
                      <w:szCs w:val="21"/>
                    </w:rPr>
                  </w:pPr>
                  <w:r>
                    <w:rPr>
                      <w:szCs w:val="21"/>
                    </w:rPr>
                    <w:t>锌</w:t>
                  </w:r>
                </w:p>
              </w:tc>
              <w:tc>
                <w:tcPr>
                  <w:tcW w:w="4904" w:type="dxa"/>
                  <w:vAlign w:val="center"/>
                </w:tcPr>
                <w:p>
                  <w:pPr>
                    <w:jc w:val="center"/>
                    <w:rPr>
                      <w:szCs w:val="21"/>
                    </w:rPr>
                  </w:pPr>
                  <w:r>
                    <w:rPr>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dxa"/>
                  <w:vAlign w:val="center"/>
                </w:tcPr>
                <w:p>
                  <w:pPr>
                    <w:jc w:val="center"/>
                    <w:rPr>
                      <w:szCs w:val="21"/>
                    </w:rPr>
                  </w:pPr>
                  <w:r>
                    <w:rPr>
                      <w:szCs w:val="21"/>
                    </w:rPr>
                    <w:t>12</w:t>
                  </w:r>
                </w:p>
              </w:tc>
              <w:tc>
                <w:tcPr>
                  <w:tcW w:w="2693" w:type="dxa"/>
                  <w:vAlign w:val="center"/>
                </w:tcPr>
                <w:p>
                  <w:pPr>
                    <w:jc w:val="center"/>
                    <w:rPr>
                      <w:szCs w:val="21"/>
                    </w:rPr>
                  </w:pPr>
                  <w:r>
                    <w:rPr>
                      <w:szCs w:val="21"/>
                    </w:rPr>
                    <w:t>氟化物（以F</w:t>
                  </w:r>
                  <w:r>
                    <w:rPr>
                      <w:szCs w:val="21"/>
                      <w:vertAlign w:val="superscript"/>
                    </w:rPr>
                    <w:t>-</w:t>
                  </w:r>
                  <w:r>
                    <w:rPr>
                      <w:szCs w:val="21"/>
                    </w:rPr>
                    <w:t>计）</w:t>
                  </w:r>
                </w:p>
              </w:tc>
              <w:tc>
                <w:tcPr>
                  <w:tcW w:w="4904" w:type="dxa"/>
                  <w:vAlign w:val="center"/>
                </w:tcPr>
                <w:p>
                  <w:pPr>
                    <w:jc w:val="center"/>
                    <w:rPr>
                      <w:szCs w:val="21"/>
                    </w:rPr>
                  </w:pPr>
                  <w:r>
                    <w:rPr>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dxa"/>
                  <w:vAlign w:val="center"/>
                </w:tcPr>
                <w:p>
                  <w:pPr>
                    <w:jc w:val="center"/>
                    <w:rPr>
                      <w:szCs w:val="21"/>
                    </w:rPr>
                  </w:pPr>
                  <w:r>
                    <w:rPr>
                      <w:szCs w:val="21"/>
                    </w:rPr>
                    <w:t>13</w:t>
                  </w:r>
                </w:p>
              </w:tc>
              <w:tc>
                <w:tcPr>
                  <w:tcW w:w="2693" w:type="dxa"/>
                  <w:vAlign w:val="center"/>
                </w:tcPr>
                <w:p>
                  <w:pPr>
                    <w:jc w:val="center"/>
                    <w:rPr>
                      <w:szCs w:val="21"/>
                    </w:rPr>
                  </w:pPr>
                  <w:r>
                    <w:rPr>
                      <w:szCs w:val="21"/>
                    </w:rPr>
                    <w:t>硒</w:t>
                  </w:r>
                </w:p>
              </w:tc>
              <w:tc>
                <w:tcPr>
                  <w:tcW w:w="4904" w:type="dxa"/>
                  <w:vAlign w:val="center"/>
                </w:tcPr>
                <w:p>
                  <w:pPr>
                    <w:jc w:val="center"/>
                    <w:rPr>
                      <w:szCs w:val="21"/>
                    </w:rPr>
                  </w:pPr>
                  <w:r>
                    <w:rPr>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dxa"/>
                  <w:vAlign w:val="center"/>
                </w:tcPr>
                <w:p>
                  <w:pPr>
                    <w:jc w:val="center"/>
                    <w:rPr>
                      <w:szCs w:val="21"/>
                    </w:rPr>
                  </w:pPr>
                  <w:r>
                    <w:rPr>
                      <w:szCs w:val="21"/>
                    </w:rPr>
                    <w:t>14</w:t>
                  </w:r>
                </w:p>
              </w:tc>
              <w:tc>
                <w:tcPr>
                  <w:tcW w:w="2693" w:type="dxa"/>
                  <w:vAlign w:val="center"/>
                </w:tcPr>
                <w:p>
                  <w:pPr>
                    <w:jc w:val="center"/>
                    <w:rPr>
                      <w:szCs w:val="21"/>
                    </w:rPr>
                  </w:pPr>
                  <w:r>
                    <w:rPr>
                      <w:szCs w:val="21"/>
                    </w:rPr>
                    <w:t>砷</w:t>
                  </w:r>
                </w:p>
              </w:tc>
              <w:tc>
                <w:tcPr>
                  <w:tcW w:w="4904" w:type="dxa"/>
                  <w:vAlign w:val="center"/>
                </w:tcPr>
                <w:p>
                  <w:pPr>
                    <w:jc w:val="center"/>
                    <w:rPr>
                      <w:szCs w:val="21"/>
                    </w:rPr>
                  </w:pPr>
                  <w:r>
                    <w:rPr>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dxa"/>
                  <w:vAlign w:val="center"/>
                </w:tcPr>
                <w:p>
                  <w:pPr>
                    <w:jc w:val="center"/>
                    <w:rPr>
                      <w:szCs w:val="21"/>
                    </w:rPr>
                  </w:pPr>
                  <w:r>
                    <w:rPr>
                      <w:szCs w:val="21"/>
                    </w:rPr>
                    <w:t>15</w:t>
                  </w:r>
                </w:p>
              </w:tc>
              <w:tc>
                <w:tcPr>
                  <w:tcW w:w="2693" w:type="dxa"/>
                  <w:vAlign w:val="center"/>
                </w:tcPr>
                <w:p>
                  <w:pPr>
                    <w:jc w:val="center"/>
                    <w:rPr>
                      <w:szCs w:val="21"/>
                    </w:rPr>
                  </w:pPr>
                  <w:r>
                    <w:rPr>
                      <w:szCs w:val="21"/>
                    </w:rPr>
                    <w:t>汞</w:t>
                  </w:r>
                </w:p>
              </w:tc>
              <w:tc>
                <w:tcPr>
                  <w:tcW w:w="4904" w:type="dxa"/>
                  <w:vAlign w:val="center"/>
                </w:tcPr>
                <w:p>
                  <w:pPr>
                    <w:jc w:val="center"/>
                    <w:rPr>
                      <w:szCs w:val="21"/>
                    </w:rPr>
                  </w:pPr>
                  <w:r>
                    <w:rPr>
                      <w:szCs w:val="21"/>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dxa"/>
                  <w:vAlign w:val="center"/>
                </w:tcPr>
                <w:p>
                  <w:pPr>
                    <w:jc w:val="center"/>
                    <w:rPr>
                      <w:szCs w:val="21"/>
                    </w:rPr>
                  </w:pPr>
                  <w:r>
                    <w:rPr>
                      <w:szCs w:val="21"/>
                    </w:rPr>
                    <w:t>16</w:t>
                  </w:r>
                </w:p>
              </w:tc>
              <w:tc>
                <w:tcPr>
                  <w:tcW w:w="2693" w:type="dxa"/>
                  <w:vAlign w:val="center"/>
                </w:tcPr>
                <w:p>
                  <w:pPr>
                    <w:jc w:val="center"/>
                    <w:rPr>
                      <w:szCs w:val="21"/>
                    </w:rPr>
                  </w:pPr>
                  <w:r>
                    <w:rPr>
                      <w:szCs w:val="21"/>
                    </w:rPr>
                    <w:t>镉</w:t>
                  </w:r>
                </w:p>
              </w:tc>
              <w:tc>
                <w:tcPr>
                  <w:tcW w:w="4904" w:type="dxa"/>
                  <w:vAlign w:val="center"/>
                </w:tcPr>
                <w:p>
                  <w:pPr>
                    <w:jc w:val="center"/>
                    <w:rPr>
                      <w:szCs w:val="21"/>
                    </w:rPr>
                  </w:pPr>
                  <w:r>
                    <w:rPr>
                      <w:szCs w:val="21"/>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dxa"/>
                  <w:vAlign w:val="center"/>
                </w:tcPr>
                <w:p>
                  <w:pPr>
                    <w:jc w:val="center"/>
                    <w:rPr>
                      <w:szCs w:val="21"/>
                    </w:rPr>
                  </w:pPr>
                  <w:r>
                    <w:rPr>
                      <w:szCs w:val="21"/>
                    </w:rPr>
                    <w:t>17</w:t>
                  </w:r>
                </w:p>
              </w:tc>
              <w:tc>
                <w:tcPr>
                  <w:tcW w:w="2693" w:type="dxa"/>
                  <w:vAlign w:val="center"/>
                </w:tcPr>
                <w:p>
                  <w:pPr>
                    <w:jc w:val="center"/>
                    <w:rPr>
                      <w:szCs w:val="21"/>
                    </w:rPr>
                  </w:pPr>
                  <w:r>
                    <w:rPr>
                      <w:szCs w:val="21"/>
                    </w:rPr>
                    <w:t>铬（六价）</w:t>
                  </w:r>
                </w:p>
              </w:tc>
              <w:tc>
                <w:tcPr>
                  <w:tcW w:w="4904" w:type="dxa"/>
                  <w:vAlign w:val="center"/>
                </w:tcPr>
                <w:p>
                  <w:pPr>
                    <w:jc w:val="center"/>
                    <w:rPr>
                      <w:szCs w:val="21"/>
                    </w:rPr>
                  </w:pPr>
                  <w:r>
                    <w:rPr>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dxa"/>
                  <w:vAlign w:val="center"/>
                </w:tcPr>
                <w:p>
                  <w:pPr>
                    <w:jc w:val="center"/>
                    <w:rPr>
                      <w:szCs w:val="21"/>
                    </w:rPr>
                  </w:pPr>
                  <w:r>
                    <w:rPr>
                      <w:szCs w:val="21"/>
                    </w:rPr>
                    <w:t>18</w:t>
                  </w:r>
                </w:p>
              </w:tc>
              <w:tc>
                <w:tcPr>
                  <w:tcW w:w="2693" w:type="dxa"/>
                  <w:vAlign w:val="center"/>
                </w:tcPr>
                <w:p>
                  <w:pPr>
                    <w:jc w:val="center"/>
                    <w:rPr>
                      <w:szCs w:val="21"/>
                    </w:rPr>
                  </w:pPr>
                  <w:r>
                    <w:rPr>
                      <w:szCs w:val="21"/>
                    </w:rPr>
                    <w:t>铅</w:t>
                  </w:r>
                </w:p>
              </w:tc>
              <w:tc>
                <w:tcPr>
                  <w:tcW w:w="4904" w:type="dxa"/>
                  <w:vAlign w:val="center"/>
                </w:tcPr>
                <w:p>
                  <w:pPr>
                    <w:jc w:val="center"/>
                    <w:rPr>
                      <w:szCs w:val="21"/>
                    </w:rPr>
                  </w:pPr>
                  <w:r>
                    <w:rPr>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dxa"/>
                  <w:vAlign w:val="center"/>
                </w:tcPr>
                <w:p>
                  <w:pPr>
                    <w:jc w:val="center"/>
                    <w:rPr>
                      <w:szCs w:val="21"/>
                    </w:rPr>
                  </w:pPr>
                  <w:r>
                    <w:rPr>
                      <w:szCs w:val="21"/>
                    </w:rPr>
                    <w:t>19</w:t>
                  </w:r>
                </w:p>
              </w:tc>
              <w:tc>
                <w:tcPr>
                  <w:tcW w:w="2693" w:type="dxa"/>
                  <w:vAlign w:val="center"/>
                </w:tcPr>
                <w:p>
                  <w:pPr>
                    <w:jc w:val="center"/>
                    <w:rPr>
                      <w:szCs w:val="21"/>
                    </w:rPr>
                  </w:pPr>
                  <w:r>
                    <w:rPr>
                      <w:szCs w:val="21"/>
                    </w:rPr>
                    <w:t>氰化物</w:t>
                  </w:r>
                </w:p>
              </w:tc>
              <w:tc>
                <w:tcPr>
                  <w:tcW w:w="4904" w:type="dxa"/>
                  <w:vAlign w:val="center"/>
                </w:tcPr>
                <w:p>
                  <w:pPr>
                    <w:jc w:val="center"/>
                    <w:rPr>
                      <w:szCs w:val="21"/>
                    </w:rPr>
                  </w:pPr>
                  <w:r>
                    <w:rPr>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dxa"/>
                  <w:vAlign w:val="center"/>
                </w:tcPr>
                <w:p>
                  <w:pPr>
                    <w:jc w:val="center"/>
                    <w:rPr>
                      <w:szCs w:val="21"/>
                    </w:rPr>
                  </w:pPr>
                  <w:r>
                    <w:rPr>
                      <w:szCs w:val="21"/>
                    </w:rPr>
                    <w:t>20</w:t>
                  </w:r>
                </w:p>
              </w:tc>
              <w:tc>
                <w:tcPr>
                  <w:tcW w:w="2693" w:type="dxa"/>
                  <w:vAlign w:val="center"/>
                </w:tcPr>
                <w:p>
                  <w:pPr>
                    <w:jc w:val="center"/>
                    <w:rPr>
                      <w:szCs w:val="21"/>
                    </w:rPr>
                  </w:pPr>
                  <w:r>
                    <w:rPr>
                      <w:szCs w:val="21"/>
                    </w:rPr>
                    <w:t>挥发酚</w:t>
                  </w:r>
                </w:p>
              </w:tc>
              <w:tc>
                <w:tcPr>
                  <w:tcW w:w="4904" w:type="dxa"/>
                  <w:vAlign w:val="center"/>
                </w:tcPr>
                <w:p>
                  <w:pPr>
                    <w:jc w:val="center"/>
                    <w:rPr>
                      <w:szCs w:val="21"/>
                    </w:rPr>
                  </w:pPr>
                  <w:r>
                    <w:rPr>
                      <w:szCs w:val="21"/>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dxa"/>
                  <w:vAlign w:val="center"/>
                </w:tcPr>
                <w:p>
                  <w:pPr>
                    <w:jc w:val="center"/>
                    <w:rPr>
                      <w:szCs w:val="21"/>
                    </w:rPr>
                  </w:pPr>
                  <w:r>
                    <w:rPr>
                      <w:szCs w:val="21"/>
                    </w:rPr>
                    <w:t>21</w:t>
                  </w:r>
                </w:p>
              </w:tc>
              <w:tc>
                <w:tcPr>
                  <w:tcW w:w="2693" w:type="dxa"/>
                  <w:vAlign w:val="center"/>
                </w:tcPr>
                <w:p>
                  <w:pPr>
                    <w:jc w:val="center"/>
                    <w:rPr>
                      <w:szCs w:val="21"/>
                    </w:rPr>
                  </w:pPr>
                  <w:r>
                    <w:rPr>
                      <w:szCs w:val="21"/>
                    </w:rPr>
                    <w:t>石油类</w:t>
                  </w:r>
                </w:p>
              </w:tc>
              <w:tc>
                <w:tcPr>
                  <w:tcW w:w="4904" w:type="dxa"/>
                  <w:vAlign w:val="center"/>
                </w:tcPr>
                <w:p>
                  <w:pPr>
                    <w:jc w:val="center"/>
                    <w:rPr>
                      <w:szCs w:val="21"/>
                    </w:rPr>
                  </w:pPr>
                  <w:r>
                    <w:rPr>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dxa"/>
                  <w:vAlign w:val="center"/>
                </w:tcPr>
                <w:p>
                  <w:pPr>
                    <w:jc w:val="center"/>
                    <w:rPr>
                      <w:szCs w:val="21"/>
                    </w:rPr>
                  </w:pPr>
                  <w:r>
                    <w:rPr>
                      <w:szCs w:val="21"/>
                    </w:rPr>
                    <w:t>22</w:t>
                  </w:r>
                </w:p>
              </w:tc>
              <w:tc>
                <w:tcPr>
                  <w:tcW w:w="2693" w:type="dxa"/>
                  <w:vAlign w:val="center"/>
                </w:tcPr>
                <w:p>
                  <w:pPr>
                    <w:jc w:val="center"/>
                    <w:rPr>
                      <w:szCs w:val="21"/>
                    </w:rPr>
                  </w:pPr>
                  <w:r>
                    <w:rPr>
                      <w:szCs w:val="21"/>
                    </w:rPr>
                    <w:t>阴离子表面活性剂</w:t>
                  </w:r>
                </w:p>
              </w:tc>
              <w:tc>
                <w:tcPr>
                  <w:tcW w:w="4904" w:type="dxa"/>
                  <w:vAlign w:val="center"/>
                </w:tcPr>
                <w:p>
                  <w:pPr>
                    <w:jc w:val="center"/>
                    <w:rPr>
                      <w:szCs w:val="21"/>
                    </w:rPr>
                  </w:pPr>
                  <w:r>
                    <w:rPr>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dxa"/>
                  <w:vAlign w:val="center"/>
                </w:tcPr>
                <w:p>
                  <w:pPr>
                    <w:jc w:val="center"/>
                    <w:rPr>
                      <w:szCs w:val="21"/>
                    </w:rPr>
                  </w:pPr>
                  <w:r>
                    <w:rPr>
                      <w:szCs w:val="21"/>
                    </w:rPr>
                    <w:t>23</w:t>
                  </w:r>
                </w:p>
              </w:tc>
              <w:tc>
                <w:tcPr>
                  <w:tcW w:w="2693" w:type="dxa"/>
                  <w:vAlign w:val="center"/>
                </w:tcPr>
                <w:p>
                  <w:pPr>
                    <w:jc w:val="center"/>
                    <w:rPr>
                      <w:szCs w:val="21"/>
                    </w:rPr>
                  </w:pPr>
                  <w:r>
                    <w:rPr>
                      <w:szCs w:val="21"/>
                    </w:rPr>
                    <w:t>硫化物</w:t>
                  </w:r>
                </w:p>
              </w:tc>
              <w:tc>
                <w:tcPr>
                  <w:tcW w:w="4904" w:type="dxa"/>
                  <w:vAlign w:val="center"/>
                </w:tcPr>
                <w:p>
                  <w:pPr>
                    <w:jc w:val="center"/>
                    <w:rPr>
                      <w:szCs w:val="21"/>
                    </w:rPr>
                  </w:pPr>
                  <w:r>
                    <w:rPr>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dxa"/>
                  <w:vAlign w:val="center"/>
                </w:tcPr>
                <w:p>
                  <w:pPr>
                    <w:jc w:val="center"/>
                    <w:rPr>
                      <w:szCs w:val="21"/>
                    </w:rPr>
                  </w:pPr>
                  <w:r>
                    <w:rPr>
                      <w:szCs w:val="21"/>
                    </w:rPr>
                    <w:t>24</w:t>
                  </w:r>
                </w:p>
              </w:tc>
              <w:tc>
                <w:tcPr>
                  <w:tcW w:w="2693" w:type="dxa"/>
                  <w:vAlign w:val="center"/>
                </w:tcPr>
                <w:p>
                  <w:pPr>
                    <w:jc w:val="center"/>
                    <w:rPr>
                      <w:szCs w:val="21"/>
                    </w:rPr>
                  </w:pPr>
                  <w:r>
                    <w:rPr>
                      <w:szCs w:val="21"/>
                    </w:rPr>
                    <w:t>粪大肠菌群（个/L）</w:t>
                  </w:r>
                </w:p>
              </w:tc>
              <w:tc>
                <w:tcPr>
                  <w:tcW w:w="4904" w:type="dxa"/>
                  <w:vAlign w:val="center"/>
                </w:tcPr>
                <w:p>
                  <w:pPr>
                    <w:jc w:val="center"/>
                    <w:rPr>
                      <w:szCs w:val="21"/>
                    </w:rPr>
                  </w:pPr>
                  <w:r>
                    <w:rPr>
                      <w:szCs w:val="21"/>
                    </w:rPr>
                    <w:t>≤2000</w:t>
                  </w:r>
                </w:p>
              </w:tc>
            </w:tr>
          </w:tbl>
          <w:p>
            <w:pPr>
              <w:spacing w:line="360" w:lineRule="auto"/>
              <w:rPr>
                <w:b/>
                <w:bCs/>
                <w:color w:val="0000FF"/>
                <w:sz w:val="24"/>
              </w:rPr>
            </w:pPr>
            <w:r>
              <w:rPr>
                <w:rFonts w:hint="eastAsia"/>
                <w:b/>
                <w:bCs/>
                <w:color w:val="0000FF"/>
                <w:sz w:val="24"/>
              </w:rPr>
              <w:t>2、区域地表水质量达标情况</w:t>
            </w:r>
          </w:p>
          <w:p>
            <w:pPr>
              <w:spacing w:line="360" w:lineRule="auto"/>
              <w:ind w:firstLine="480" w:firstLineChars="200"/>
              <w:rPr>
                <w:color w:val="0000FF"/>
                <w:sz w:val="24"/>
              </w:rPr>
            </w:pPr>
            <w:r>
              <w:rPr>
                <w:rFonts w:hint="eastAsia"/>
                <w:color w:val="0000FF"/>
                <w:sz w:val="24"/>
              </w:rPr>
              <w:t>根据《建设项目环境影响报告表编制技术指南（污染影响类）》相关要求，引用与建设项目距离近的有效数据，包括近3年的规划环境影响评价的监测数据，所在流域控制单元内国家、地方控制断面监测数据，生态环境主管部门发布的水环境质量数据或地表水达标情况的结论。</w:t>
            </w:r>
          </w:p>
          <w:p>
            <w:pPr>
              <w:spacing w:line="360" w:lineRule="auto"/>
              <w:ind w:firstLine="480" w:firstLineChars="200"/>
              <w:rPr>
                <w:color w:val="0000FF"/>
                <w:sz w:val="24"/>
              </w:rPr>
            </w:pPr>
            <w:r>
              <w:rPr>
                <w:rFonts w:hint="eastAsia"/>
                <w:color w:val="0000FF"/>
                <w:sz w:val="24"/>
              </w:rPr>
              <w:t>本次评价引用《迪庆州2022年生态环境状况公报》中关于中路村国控断面水质监测结果进行地表水环境质量现状分析。</w:t>
            </w:r>
          </w:p>
          <w:p>
            <w:pPr>
              <w:spacing w:line="360" w:lineRule="auto"/>
              <w:ind w:firstLine="480" w:firstLineChars="200"/>
              <w:rPr>
                <w:color w:val="0000FF"/>
                <w:sz w:val="24"/>
              </w:rPr>
            </w:pPr>
            <w:r>
              <w:rPr>
                <w:rFonts w:hint="eastAsia"/>
                <w:color w:val="0000FF"/>
                <w:sz w:val="24"/>
              </w:rPr>
              <w:t>根据《迪庆州2022年生态环境状况公报》，2022年，迪庆州地表水国控断面水质符合Ⅲ类比例为100%（国控河流断面5个为：贺龙桥、中路村、虎跳峡镇、色仓、碧玉河汇口）。</w:t>
            </w:r>
          </w:p>
          <w:p>
            <w:pPr>
              <w:spacing w:line="360" w:lineRule="auto"/>
              <w:ind w:firstLine="480" w:firstLineChars="200"/>
              <w:rPr>
                <w:color w:val="0000FF"/>
                <w:sz w:val="24"/>
              </w:rPr>
            </w:pPr>
            <w:r>
              <w:rPr>
                <w:rFonts w:hint="eastAsia"/>
                <w:color w:val="0000FF"/>
                <w:sz w:val="24"/>
              </w:rPr>
              <w:t>本项目位于中路村国控断面上游，引用其水质达标结论合理可行。根据现状分析，2</w:t>
            </w:r>
            <w:r>
              <w:rPr>
                <w:color w:val="0000FF"/>
                <w:sz w:val="24"/>
              </w:rPr>
              <w:t>022</w:t>
            </w:r>
            <w:r>
              <w:rPr>
                <w:rFonts w:hint="eastAsia"/>
                <w:color w:val="0000FF"/>
                <w:sz w:val="24"/>
              </w:rPr>
              <w:t>年澜沧江中路村国控断面水质达不到II类水质标准的主要原因可能为澜沧江中路村国控断面上游流域内存在大量砂石开采企业，雨天淋滤水汇入澜沧江干流可能造成其水质不达标；其次，中路村国控断面上游存在大量村庄，生活污水及农业面源污染也可能是造成其水质不达标的重要因素之一。</w:t>
            </w:r>
          </w:p>
          <w:p>
            <w:pPr>
              <w:spacing w:line="360" w:lineRule="auto"/>
              <w:ind w:firstLine="480" w:firstLineChars="200"/>
              <w:rPr>
                <w:color w:val="0000FF"/>
                <w:sz w:val="24"/>
              </w:rPr>
            </w:pPr>
            <w:r>
              <w:rPr>
                <w:rFonts w:hint="eastAsia"/>
                <w:color w:val="0000FF"/>
                <w:sz w:val="24"/>
              </w:rPr>
              <w:t>根据《迪庆州2022年生态环境状况公报》，2</w:t>
            </w:r>
            <w:r>
              <w:rPr>
                <w:color w:val="0000FF"/>
                <w:sz w:val="24"/>
              </w:rPr>
              <w:t>022</w:t>
            </w:r>
            <w:r>
              <w:rPr>
                <w:rFonts w:hint="eastAsia"/>
                <w:color w:val="0000FF"/>
                <w:sz w:val="24"/>
              </w:rPr>
              <w:t>年中路村国控断面水质达不到《地表水环境质量标准》（GB3838-2002）II类标准限值要求，项目所在区域地表水环境质量一般。</w:t>
            </w:r>
          </w:p>
          <w:p>
            <w:pPr>
              <w:spacing w:line="360" w:lineRule="auto"/>
              <w:rPr>
                <w:rFonts w:ascii="黑体" w:hAnsi="黑体" w:eastAsia="黑体"/>
                <w:b/>
                <w:bCs/>
                <w:kern w:val="0"/>
                <w:sz w:val="24"/>
              </w:rPr>
            </w:pPr>
            <w:r>
              <w:rPr>
                <w:rFonts w:hint="eastAsia" w:ascii="黑体" w:hAnsi="黑体" w:eastAsia="黑体"/>
                <w:b/>
                <w:bCs/>
                <w:kern w:val="0"/>
                <w:sz w:val="24"/>
              </w:rPr>
              <w:t>（三）</w:t>
            </w:r>
            <w:r>
              <w:rPr>
                <w:rFonts w:ascii="黑体" w:hAnsi="黑体" w:eastAsia="黑体"/>
                <w:b/>
                <w:bCs/>
                <w:kern w:val="0"/>
                <w:sz w:val="24"/>
              </w:rPr>
              <w:t>声环境质量现状</w:t>
            </w:r>
          </w:p>
          <w:p>
            <w:pPr>
              <w:spacing w:line="360" w:lineRule="auto"/>
              <w:rPr>
                <w:b/>
                <w:bCs/>
                <w:sz w:val="24"/>
              </w:rPr>
            </w:pPr>
            <w:r>
              <w:rPr>
                <w:rFonts w:hint="eastAsia"/>
                <w:b/>
                <w:bCs/>
                <w:sz w:val="24"/>
              </w:rPr>
              <w:t>1、区域声环境质量标准</w:t>
            </w:r>
          </w:p>
          <w:p>
            <w:pPr>
              <w:spacing w:line="360" w:lineRule="auto"/>
              <w:ind w:firstLine="480" w:firstLineChars="200"/>
              <w:rPr>
                <w:sz w:val="24"/>
              </w:rPr>
            </w:pPr>
            <w:r>
              <w:rPr>
                <w:rFonts w:hint="eastAsia"/>
                <w:sz w:val="24"/>
              </w:rPr>
              <w:t>项目选址位于维西傈僳族自治县白济汛乡下笼嘎组，为农村地区，属2声环境功能区，声环境质量执行《声环境质量标准》（GB</w:t>
            </w:r>
            <w:r>
              <w:rPr>
                <w:sz w:val="24"/>
              </w:rPr>
              <w:t xml:space="preserve"> 3096-2008</w:t>
            </w:r>
            <w:r>
              <w:rPr>
                <w:rFonts w:hint="eastAsia"/>
                <w:sz w:val="24"/>
              </w:rPr>
              <w:t>）中的</w:t>
            </w:r>
            <w:r>
              <w:rPr>
                <w:sz w:val="24"/>
              </w:rPr>
              <w:t>2</w:t>
            </w:r>
            <w:r>
              <w:rPr>
                <w:rFonts w:hint="eastAsia"/>
                <w:sz w:val="24"/>
              </w:rPr>
              <w:t>类区标准值要求。</w:t>
            </w:r>
          </w:p>
          <w:p>
            <w:pPr>
              <w:jc w:val="center"/>
              <w:rPr>
                <w:b/>
                <w:sz w:val="24"/>
              </w:rPr>
            </w:pPr>
            <w:r>
              <w:rPr>
                <w:rFonts w:hint="eastAsia"/>
                <w:b/>
                <w:sz w:val="24"/>
              </w:rPr>
              <w:t>表3</w:t>
            </w:r>
            <w:r>
              <w:rPr>
                <w:b/>
                <w:sz w:val="24"/>
              </w:rPr>
              <w:t xml:space="preserve">.3-1  </w:t>
            </w:r>
            <w:r>
              <w:rPr>
                <w:rFonts w:hint="eastAsia"/>
                <w:b/>
                <w:sz w:val="24"/>
              </w:rPr>
              <w:t xml:space="preserve">环境噪声限值 </w:t>
            </w:r>
            <w:r>
              <w:rPr>
                <w:b/>
                <w:sz w:val="24"/>
              </w:rPr>
              <w:t xml:space="preserve"> </w:t>
            </w:r>
            <w:r>
              <w:rPr>
                <w:rFonts w:hint="eastAsia"/>
                <w:b/>
                <w:sz w:val="24"/>
              </w:rPr>
              <w:t>单位：dB（A）</w:t>
            </w:r>
          </w:p>
          <w:tbl>
            <w:tblPr>
              <w:tblStyle w:val="3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288"/>
              <w:gridCol w:w="2488"/>
              <w:gridCol w:w="23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13" w:type="pct"/>
                  <w:vMerge w:val="restart"/>
                  <w:vAlign w:val="center"/>
                </w:tcPr>
                <w:p>
                  <w:pPr>
                    <w:jc w:val="center"/>
                    <w:rPr>
                      <w:b/>
                      <w:szCs w:val="21"/>
                    </w:rPr>
                  </w:pPr>
                  <w:r>
                    <w:rPr>
                      <w:rFonts w:hint="eastAsia"/>
                      <w:b/>
                      <w:szCs w:val="21"/>
                    </w:rPr>
                    <w:t>声环境功能区类别</w:t>
                  </w:r>
                </w:p>
              </w:tc>
              <w:tc>
                <w:tcPr>
                  <w:tcW w:w="2987" w:type="pct"/>
                  <w:gridSpan w:val="2"/>
                  <w:vAlign w:val="center"/>
                </w:tcPr>
                <w:p>
                  <w:pPr>
                    <w:jc w:val="center"/>
                    <w:rPr>
                      <w:b/>
                      <w:szCs w:val="21"/>
                    </w:rPr>
                  </w:pPr>
                  <w:r>
                    <w:rPr>
                      <w:rFonts w:hint="eastAsia"/>
                      <w:b/>
                      <w:szCs w:val="21"/>
                    </w:rPr>
                    <w:t>时段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13" w:type="pct"/>
                  <w:vMerge w:val="continue"/>
                  <w:vAlign w:val="center"/>
                </w:tcPr>
                <w:p>
                  <w:pPr>
                    <w:jc w:val="center"/>
                    <w:rPr>
                      <w:b/>
                      <w:szCs w:val="21"/>
                    </w:rPr>
                  </w:pPr>
                </w:p>
              </w:tc>
              <w:tc>
                <w:tcPr>
                  <w:tcW w:w="1523" w:type="pct"/>
                  <w:vAlign w:val="center"/>
                </w:tcPr>
                <w:p>
                  <w:pPr>
                    <w:jc w:val="center"/>
                    <w:rPr>
                      <w:b/>
                      <w:szCs w:val="21"/>
                    </w:rPr>
                  </w:pPr>
                  <w:r>
                    <w:rPr>
                      <w:rFonts w:hint="eastAsia"/>
                      <w:b/>
                      <w:szCs w:val="21"/>
                    </w:rPr>
                    <w:t>昼间</w:t>
                  </w:r>
                </w:p>
              </w:tc>
              <w:tc>
                <w:tcPr>
                  <w:tcW w:w="1464" w:type="pct"/>
                  <w:vAlign w:val="center"/>
                </w:tcPr>
                <w:p>
                  <w:pPr>
                    <w:jc w:val="center"/>
                    <w:rPr>
                      <w:b/>
                      <w:szCs w:val="21"/>
                    </w:rPr>
                  </w:pPr>
                  <w:r>
                    <w:rPr>
                      <w:rFonts w:hint="eastAsia"/>
                      <w:b/>
                      <w:szCs w:val="21"/>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13" w:type="pct"/>
                  <w:vAlign w:val="center"/>
                </w:tcPr>
                <w:p>
                  <w:pPr>
                    <w:jc w:val="center"/>
                    <w:rPr>
                      <w:szCs w:val="21"/>
                    </w:rPr>
                  </w:pPr>
                  <w:r>
                    <w:rPr>
                      <w:rFonts w:hint="eastAsia"/>
                      <w:szCs w:val="21"/>
                    </w:rPr>
                    <w:t>2类</w:t>
                  </w:r>
                </w:p>
              </w:tc>
              <w:tc>
                <w:tcPr>
                  <w:tcW w:w="1523" w:type="pct"/>
                  <w:vAlign w:val="center"/>
                </w:tcPr>
                <w:p>
                  <w:pPr>
                    <w:jc w:val="center"/>
                    <w:rPr>
                      <w:szCs w:val="21"/>
                    </w:rPr>
                  </w:pPr>
                  <w:r>
                    <w:rPr>
                      <w:rFonts w:hint="eastAsia"/>
                      <w:szCs w:val="21"/>
                    </w:rPr>
                    <w:t>6</w:t>
                  </w:r>
                  <w:r>
                    <w:rPr>
                      <w:szCs w:val="21"/>
                    </w:rPr>
                    <w:t>0</w:t>
                  </w:r>
                </w:p>
              </w:tc>
              <w:tc>
                <w:tcPr>
                  <w:tcW w:w="1464" w:type="pct"/>
                  <w:vAlign w:val="center"/>
                </w:tcPr>
                <w:p>
                  <w:pPr>
                    <w:jc w:val="center"/>
                    <w:rPr>
                      <w:szCs w:val="21"/>
                    </w:rPr>
                  </w:pPr>
                  <w:r>
                    <w:rPr>
                      <w:rFonts w:hint="eastAsia"/>
                      <w:szCs w:val="21"/>
                    </w:rPr>
                    <w:t>5</w:t>
                  </w:r>
                  <w:r>
                    <w:rPr>
                      <w:szCs w:val="21"/>
                    </w:rPr>
                    <w:t>0</w:t>
                  </w:r>
                </w:p>
              </w:tc>
            </w:tr>
          </w:tbl>
          <w:p>
            <w:pPr>
              <w:spacing w:line="360" w:lineRule="auto"/>
              <w:rPr>
                <w:b/>
                <w:bCs/>
                <w:sz w:val="24"/>
              </w:rPr>
            </w:pPr>
            <w:r>
              <w:rPr>
                <w:rFonts w:hint="eastAsia"/>
                <w:b/>
                <w:bCs/>
                <w:sz w:val="24"/>
              </w:rPr>
              <w:t>2、声环境质量现状补充监测情况</w:t>
            </w:r>
          </w:p>
          <w:p>
            <w:pPr>
              <w:spacing w:line="360" w:lineRule="auto"/>
              <w:ind w:firstLine="480" w:firstLineChars="200"/>
              <w:rPr>
                <w:sz w:val="24"/>
              </w:rPr>
            </w:pPr>
            <w:r>
              <w:rPr>
                <w:rFonts w:hint="eastAsia"/>
                <w:sz w:val="24"/>
              </w:rPr>
              <w:t>根据《建设项目环境影响报告表编制技术指南（污染影响类）》相关要求，厂界外周边50米范围内存在声环境保护目标的建设项目，应监测保护目标声环境质量现状并评价达标情况。各点位应监测昼夜间噪声，监测时间不少于1天，项目夜间不生产则仅监测昼间噪声。</w:t>
            </w:r>
            <w:r>
              <w:rPr>
                <w:sz w:val="24"/>
              </w:rPr>
              <w:t>根据调查，项目厂界外延50m范围内不存在居民点等需要特殊保护的声环境保护目标，</w:t>
            </w:r>
            <w:r>
              <w:rPr>
                <w:rFonts w:hint="eastAsia"/>
                <w:sz w:val="24"/>
              </w:rPr>
              <w:t>无需开展声环境质量现状监测。</w:t>
            </w:r>
          </w:p>
          <w:p>
            <w:pPr>
              <w:spacing w:line="360" w:lineRule="auto"/>
              <w:ind w:firstLine="480" w:firstLineChars="200"/>
              <w:rPr>
                <w:sz w:val="24"/>
              </w:rPr>
            </w:pPr>
            <w:r>
              <w:rPr>
                <w:rFonts w:hint="eastAsia"/>
                <w:sz w:val="24"/>
              </w:rPr>
              <w:t>根据现场勘察，项目选址位于农村地区，周边无大型工业企业分布，主要噪声源为社会生活噪声，噪声源分布简单，区域声环境质量现状整体良好。</w:t>
            </w:r>
          </w:p>
          <w:p>
            <w:pPr>
              <w:spacing w:line="360" w:lineRule="auto"/>
              <w:rPr>
                <w:rFonts w:ascii="黑体" w:hAnsi="黑体" w:eastAsia="黑体"/>
                <w:b/>
                <w:bCs/>
                <w:kern w:val="0"/>
                <w:sz w:val="24"/>
              </w:rPr>
            </w:pPr>
            <w:r>
              <w:rPr>
                <w:rFonts w:hint="eastAsia" w:ascii="黑体" w:hAnsi="黑体" w:eastAsia="黑体"/>
                <w:b/>
                <w:bCs/>
                <w:kern w:val="0"/>
                <w:sz w:val="24"/>
              </w:rPr>
              <w:t>（四）</w:t>
            </w:r>
            <w:r>
              <w:rPr>
                <w:rFonts w:ascii="黑体" w:hAnsi="黑体" w:eastAsia="黑体"/>
                <w:b/>
                <w:bCs/>
                <w:kern w:val="0"/>
                <w:sz w:val="24"/>
              </w:rPr>
              <w:t>区域生态环境质量现状</w:t>
            </w:r>
          </w:p>
          <w:p>
            <w:pPr>
              <w:spacing w:line="360" w:lineRule="auto"/>
              <w:ind w:firstLine="480" w:firstLineChars="200"/>
              <w:jc w:val="left"/>
              <w:rPr>
                <w:kern w:val="0"/>
                <w:sz w:val="24"/>
              </w:rPr>
            </w:pPr>
            <w:r>
              <w:rPr>
                <w:rFonts w:hint="eastAsia"/>
                <w:sz w:val="24"/>
              </w:rPr>
              <w:t>根据《建设项目环境影响报告表编制技术指南（污染影响类）》相关要求，产业园区外建设项目新增用地且用地范围内含有生态环境保护目标时，应进行生态现状调查。</w:t>
            </w:r>
          </w:p>
          <w:p>
            <w:pPr>
              <w:spacing w:line="360" w:lineRule="auto"/>
              <w:ind w:firstLine="480" w:firstLineChars="200"/>
              <w:jc w:val="left"/>
              <w:rPr>
                <w:kern w:val="0"/>
                <w:sz w:val="24"/>
              </w:rPr>
            </w:pPr>
            <w:r>
              <w:rPr>
                <w:rFonts w:hint="eastAsia"/>
                <w:sz w:val="24"/>
              </w:rPr>
              <w:t>项目选址位于维西傈僳族自治县白济汛乡下笼嘎组，地理中心坐标为东经：99度5分7.2457秒，北纬：27度21分13.755秒</w:t>
            </w:r>
            <w:r>
              <w:rPr>
                <w:rFonts w:hint="eastAsia"/>
                <w:kern w:val="0"/>
                <w:sz w:val="24"/>
              </w:rPr>
              <w:t>。根据调查，项目用地范围内不包括重要物种、生态敏感区以及其他需要保护的物种、种群、生物群落及生态空间等，故本次评价不进行生态现状调查及评价。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2" w:type="dxa"/>
            <w:vAlign w:val="center"/>
          </w:tcPr>
          <w:p>
            <w:pPr>
              <w:adjustRightInd w:val="0"/>
              <w:snapToGrid w:val="0"/>
              <w:jc w:val="center"/>
              <w:rPr>
                <w:b/>
                <w:bCs/>
                <w:kern w:val="0"/>
                <w:sz w:val="24"/>
              </w:rPr>
            </w:pPr>
            <w:r>
              <w:rPr>
                <w:b/>
                <w:bCs/>
                <w:kern w:val="0"/>
                <w:sz w:val="24"/>
              </w:rPr>
              <w:t>环境保护目标</w:t>
            </w:r>
          </w:p>
        </w:tc>
        <w:tc>
          <w:tcPr>
            <w:tcW w:w="8393" w:type="dxa"/>
            <w:vAlign w:val="center"/>
          </w:tcPr>
          <w:p>
            <w:pPr>
              <w:spacing w:line="360" w:lineRule="auto"/>
              <w:rPr>
                <w:rFonts w:ascii="黑体" w:hAnsi="黑体" w:eastAsia="黑体"/>
                <w:b/>
                <w:bCs/>
                <w:kern w:val="0"/>
                <w:sz w:val="24"/>
              </w:rPr>
            </w:pPr>
            <w:bookmarkStart w:id="42" w:name="_Hlk143501372"/>
            <w:r>
              <w:rPr>
                <w:rFonts w:hint="eastAsia" w:ascii="黑体" w:hAnsi="黑体" w:eastAsia="黑体"/>
                <w:b/>
                <w:bCs/>
                <w:kern w:val="0"/>
                <w:sz w:val="24"/>
              </w:rPr>
              <w:t>（五）环境保护目标</w:t>
            </w:r>
          </w:p>
          <w:p>
            <w:pPr>
              <w:spacing w:line="360" w:lineRule="auto"/>
              <w:ind w:firstLine="480" w:firstLineChars="200"/>
              <w:jc w:val="left"/>
              <w:rPr>
                <w:sz w:val="24"/>
              </w:rPr>
            </w:pPr>
            <w:r>
              <w:rPr>
                <w:rFonts w:hint="eastAsia"/>
                <w:sz w:val="24"/>
              </w:rPr>
              <w:t>项目选址位于维西傈僳族自治县白济汛乡下笼嘎组，地理中心坐标为东经：99度5分7.2457秒，北纬：27度21分13.755秒，</w:t>
            </w:r>
            <w:r>
              <w:rPr>
                <w:sz w:val="24"/>
              </w:rPr>
              <w:t>根据《建设项目环境影响报告表编制技术指南》（污染影响类）（试行），</w:t>
            </w:r>
            <w:r>
              <w:rPr>
                <w:rFonts w:hint="eastAsia"/>
                <w:sz w:val="24"/>
              </w:rPr>
              <w:t>确定本项目环境保护目标如下：</w:t>
            </w:r>
          </w:p>
          <w:p>
            <w:pPr>
              <w:pStyle w:val="13"/>
              <w:spacing w:line="360" w:lineRule="auto"/>
              <w:ind w:firstLine="0"/>
              <w:jc w:val="left"/>
              <w:rPr>
                <w:b/>
                <w:bCs/>
                <w:kern w:val="0"/>
              </w:rPr>
            </w:pPr>
            <w:r>
              <w:rPr>
                <w:b/>
                <w:bCs/>
                <w:kern w:val="0"/>
              </w:rPr>
              <w:t>1、</w:t>
            </w:r>
            <w:bookmarkStart w:id="43" w:name="_Hlk138771855"/>
            <w:r>
              <w:rPr>
                <w:b/>
                <w:bCs/>
                <w:kern w:val="0"/>
              </w:rPr>
              <w:t>大气环境保护目标</w:t>
            </w:r>
          </w:p>
          <w:p>
            <w:pPr>
              <w:pStyle w:val="13"/>
              <w:spacing w:line="360" w:lineRule="auto"/>
              <w:ind w:firstLine="480" w:firstLineChars="200"/>
              <w:jc w:val="left"/>
              <w:rPr>
                <w:kern w:val="0"/>
              </w:rPr>
            </w:pPr>
            <w:r>
              <w:rPr>
                <w:rFonts w:hint="eastAsia"/>
                <w:kern w:val="0"/>
              </w:rPr>
              <w:t>根据现场踏勘调查，项目属农村地区，周边5</w:t>
            </w:r>
            <w:r>
              <w:rPr>
                <w:kern w:val="0"/>
              </w:rPr>
              <w:t>00</w:t>
            </w:r>
            <w:r>
              <w:rPr>
                <w:rFonts w:hint="eastAsia"/>
                <w:kern w:val="0"/>
              </w:rPr>
              <w:t>m范围内不涉及自然保护区、风景名胜区、居住区、文化区、城市居住区，主要涉及的大气环境保护目标为农村人群集中区及散户（项目周边关系详见</w:t>
            </w:r>
            <w:r>
              <w:rPr>
                <w:rFonts w:hint="eastAsia"/>
                <w:b/>
                <w:kern w:val="0"/>
                <w:u w:val="single"/>
              </w:rPr>
              <w:t>附图3</w:t>
            </w:r>
            <w:r>
              <w:rPr>
                <w:rFonts w:hint="eastAsia"/>
                <w:kern w:val="0"/>
              </w:rPr>
              <w:t>），具体如下：</w:t>
            </w:r>
          </w:p>
          <w:p>
            <w:pPr>
              <w:pStyle w:val="13"/>
              <w:spacing w:line="240" w:lineRule="auto"/>
              <w:ind w:firstLine="0"/>
              <w:jc w:val="center"/>
              <w:rPr>
                <w:b/>
                <w:kern w:val="0"/>
              </w:rPr>
            </w:pPr>
            <w:r>
              <w:rPr>
                <w:b/>
                <w:kern w:val="0"/>
              </w:rPr>
              <w:t>表3.5-1  大气环境保护目标一览表</w:t>
            </w:r>
          </w:p>
          <w:tbl>
            <w:tblPr>
              <w:tblStyle w:val="3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10"/>
              <w:gridCol w:w="1700"/>
              <w:gridCol w:w="1348"/>
              <w:gridCol w:w="921"/>
              <w:gridCol w:w="1485"/>
              <w:gridCol w:w="10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47" w:type="pct"/>
                  <w:vAlign w:val="center"/>
                </w:tcPr>
                <w:p>
                  <w:pPr>
                    <w:pStyle w:val="13"/>
                    <w:spacing w:line="240" w:lineRule="auto"/>
                    <w:ind w:firstLine="0"/>
                    <w:jc w:val="center"/>
                    <w:rPr>
                      <w:b/>
                      <w:kern w:val="0"/>
                      <w:sz w:val="21"/>
                      <w:szCs w:val="21"/>
                    </w:rPr>
                  </w:pPr>
                  <w:r>
                    <w:rPr>
                      <w:b/>
                      <w:kern w:val="0"/>
                      <w:sz w:val="21"/>
                      <w:szCs w:val="21"/>
                    </w:rPr>
                    <w:t>保护目标</w:t>
                  </w:r>
                </w:p>
              </w:tc>
              <w:tc>
                <w:tcPr>
                  <w:tcW w:w="1041" w:type="pct"/>
                  <w:vAlign w:val="center"/>
                </w:tcPr>
                <w:p>
                  <w:pPr>
                    <w:pStyle w:val="13"/>
                    <w:spacing w:line="240" w:lineRule="auto"/>
                    <w:ind w:firstLine="0"/>
                    <w:jc w:val="center"/>
                    <w:rPr>
                      <w:b/>
                      <w:kern w:val="0"/>
                      <w:sz w:val="21"/>
                      <w:szCs w:val="21"/>
                    </w:rPr>
                  </w:pPr>
                  <w:r>
                    <w:rPr>
                      <w:b/>
                      <w:kern w:val="0"/>
                      <w:sz w:val="21"/>
                      <w:szCs w:val="21"/>
                    </w:rPr>
                    <w:t>经纬度</w:t>
                  </w:r>
                </w:p>
              </w:tc>
              <w:tc>
                <w:tcPr>
                  <w:tcW w:w="825" w:type="pct"/>
                  <w:vAlign w:val="center"/>
                </w:tcPr>
                <w:p>
                  <w:pPr>
                    <w:pStyle w:val="13"/>
                    <w:spacing w:line="240" w:lineRule="auto"/>
                    <w:ind w:firstLine="0"/>
                    <w:jc w:val="center"/>
                    <w:rPr>
                      <w:b/>
                      <w:kern w:val="0"/>
                      <w:sz w:val="21"/>
                      <w:szCs w:val="21"/>
                    </w:rPr>
                  </w:pPr>
                  <w:r>
                    <w:rPr>
                      <w:b/>
                      <w:kern w:val="0"/>
                      <w:sz w:val="21"/>
                      <w:szCs w:val="21"/>
                    </w:rPr>
                    <w:t>较厂址方位</w:t>
                  </w:r>
                </w:p>
              </w:tc>
              <w:tc>
                <w:tcPr>
                  <w:tcW w:w="564" w:type="pct"/>
                  <w:vAlign w:val="center"/>
                </w:tcPr>
                <w:p>
                  <w:pPr>
                    <w:pStyle w:val="13"/>
                    <w:spacing w:line="240" w:lineRule="auto"/>
                    <w:ind w:firstLine="0"/>
                    <w:jc w:val="center"/>
                    <w:rPr>
                      <w:b/>
                      <w:kern w:val="0"/>
                      <w:sz w:val="21"/>
                      <w:szCs w:val="21"/>
                    </w:rPr>
                  </w:pPr>
                  <w:r>
                    <w:rPr>
                      <w:b/>
                      <w:kern w:val="0"/>
                      <w:sz w:val="21"/>
                      <w:szCs w:val="21"/>
                    </w:rPr>
                    <w:t>较厂址距离</w:t>
                  </w:r>
                </w:p>
              </w:tc>
              <w:tc>
                <w:tcPr>
                  <w:tcW w:w="909" w:type="pct"/>
                  <w:vAlign w:val="center"/>
                </w:tcPr>
                <w:p>
                  <w:pPr>
                    <w:pStyle w:val="13"/>
                    <w:spacing w:line="240" w:lineRule="auto"/>
                    <w:ind w:firstLine="0"/>
                    <w:jc w:val="center"/>
                    <w:rPr>
                      <w:b/>
                      <w:kern w:val="0"/>
                      <w:sz w:val="21"/>
                      <w:szCs w:val="21"/>
                    </w:rPr>
                  </w:pPr>
                  <w:r>
                    <w:rPr>
                      <w:b/>
                      <w:kern w:val="0"/>
                      <w:sz w:val="21"/>
                      <w:szCs w:val="21"/>
                    </w:rPr>
                    <w:t>保护规模</w:t>
                  </w:r>
                </w:p>
              </w:tc>
              <w:tc>
                <w:tcPr>
                  <w:tcW w:w="614" w:type="pct"/>
                  <w:vAlign w:val="center"/>
                </w:tcPr>
                <w:p>
                  <w:pPr>
                    <w:pStyle w:val="13"/>
                    <w:spacing w:line="240" w:lineRule="auto"/>
                    <w:ind w:firstLine="0"/>
                    <w:jc w:val="center"/>
                    <w:rPr>
                      <w:b/>
                      <w:kern w:val="0"/>
                      <w:sz w:val="21"/>
                      <w:szCs w:val="21"/>
                    </w:rPr>
                  </w:pPr>
                  <w:r>
                    <w:rPr>
                      <w:b/>
                      <w:kern w:val="0"/>
                      <w:sz w:val="21"/>
                      <w:szCs w:val="21"/>
                    </w:rPr>
                    <w:t>环境功能区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47" w:type="pct"/>
                  <w:vAlign w:val="center"/>
                </w:tcPr>
                <w:p>
                  <w:pPr>
                    <w:pStyle w:val="13"/>
                    <w:spacing w:line="240" w:lineRule="auto"/>
                    <w:ind w:firstLine="0"/>
                    <w:jc w:val="center"/>
                    <w:rPr>
                      <w:kern w:val="0"/>
                      <w:sz w:val="21"/>
                      <w:szCs w:val="21"/>
                    </w:rPr>
                  </w:pPr>
                  <w:r>
                    <w:rPr>
                      <w:kern w:val="0"/>
                      <w:sz w:val="21"/>
                      <w:szCs w:val="21"/>
                    </w:rPr>
                    <w:t>下笼嘎村散户</w:t>
                  </w:r>
                </w:p>
              </w:tc>
              <w:tc>
                <w:tcPr>
                  <w:tcW w:w="1041" w:type="pct"/>
                  <w:vAlign w:val="center"/>
                </w:tcPr>
                <w:p>
                  <w:pPr>
                    <w:pStyle w:val="13"/>
                    <w:spacing w:line="240" w:lineRule="auto"/>
                    <w:ind w:firstLine="0"/>
                    <w:rPr>
                      <w:kern w:val="0"/>
                      <w:sz w:val="21"/>
                      <w:szCs w:val="21"/>
                    </w:rPr>
                  </w:pPr>
                  <w:r>
                    <w:rPr>
                      <w:kern w:val="0"/>
                      <w:sz w:val="21"/>
                      <w:szCs w:val="21"/>
                    </w:rPr>
                    <w:t>E：99°5′2.66″</w:t>
                  </w:r>
                </w:p>
                <w:p>
                  <w:pPr>
                    <w:pStyle w:val="13"/>
                    <w:spacing w:line="240" w:lineRule="auto"/>
                    <w:ind w:firstLine="0"/>
                    <w:rPr>
                      <w:kern w:val="0"/>
                      <w:sz w:val="21"/>
                      <w:szCs w:val="21"/>
                    </w:rPr>
                  </w:pPr>
                  <w:r>
                    <w:rPr>
                      <w:kern w:val="0"/>
                      <w:sz w:val="21"/>
                      <w:szCs w:val="21"/>
                    </w:rPr>
                    <w:t>N：27°21′6.37″</w:t>
                  </w:r>
                </w:p>
              </w:tc>
              <w:tc>
                <w:tcPr>
                  <w:tcW w:w="825" w:type="pct"/>
                  <w:vAlign w:val="center"/>
                </w:tcPr>
                <w:p>
                  <w:pPr>
                    <w:pStyle w:val="13"/>
                    <w:spacing w:line="240" w:lineRule="auto"/>
                    <w:ind w:firstLine="0"/>
                    <w:jc w:val="center"/>
                    <w:rPr>
                      <w:kern w:val="0"/>
                      <w:sz w:val="21"/>
                      <w:szCs w:val="21"/>
                    </w:rPr>
                  </w:pPr>
                  <w:r>
                    <w:rPr>
                      <w:kern w:val="0"/>
                      <w:sz w:val="21"/>
                      <w:szCs w:val="21"/>
                    </w:rPr>
                    <w:t>西北侧</w:t>
                  </w:r>
                </w:p>
              </w:tc>
              <w:tc>
                <w:tcPr>
                  <w:tcW w:w="564" w:type="pct"/>
                  <w:vAlign w:val="center"/>
                </w:tcPr>
                <w:p>
                  <w:pPr>
                    <w:pStyle w:val="13"/>
                    <w:spacing w:line="240" w:lineRule="auto"/>
                    <w:ind w:firstLine="0"/>
                    <w:jc w:val="center"/>
                    <w:rPr>
                      <w:kern w:val="0"/>
                      <w:sz w:val="21"/>
                      <w:szCs w:val="21"/>
                    </w:rPr>
                  </w:pPr>
                  <w:r>
                    <w:rPr>
                      <w:kern w:val="0"/>
                      <w:sz w:val="21"/>
                      <w:szCs w:val="21"/>
                    </w:rPr>
                    <w:t>240m</w:t>
                  </w:r>
                </w:p>
              </w:tc>
              <w:tc>
                <w:tcPr>
                  <w:tcW w:w="909" w:type="pct"/>
                  <w:vAlign w:val="center"/>
                </w:tcPr>
                <w:p>
                  <w:pPr>
                    <w:pStyle w:val="13"/>
                    <w:spacing w:line="240" w:lineRule="auto"/>
                    <w:ind w:firstLine="0"/>
                    <w:jc w:val="center"/>
                    <w:rPr>
                      <w:kern w:val="0"/>
                      <w:sz w:val="21"/>
                      <w:szCs w:val="21"/>
                    </w:rPr>
                  </w:pPr>
                  <w:r>
                    <w:rPr>
                      <w:kern w:val="0"/>
                      <w:sz w:val="21"/>
                      <w:szCs w:val="21"/>
                    </w:rPr>
                    <w:t>约3户，15人</w:t>
                  </w:r>
                </w:p>
              </w:tc>
              <w:tc>
                <w:tcPr>
                  <w:tcW w:w="614" w:type="pct"/>
                  <w:vMerge w:val="restart"/>
                  <w:vAlign w:val="center"/>
                </w:tcPr>
                <w:p>
                  <w:pPr>
                    <w:pStyle w:val="13"/>
                    <w:spacing w:line="240" w:lineRule="auto"/>
                    <w:ind w:firstLine="0"/>
                    <w:jc w:val="center"/>
                    <w:rPr>
                      <w:kern w:val="0"/>
                      <w:sz w:val="21"/>
                      <w:szCs w:val="21"/>
                    </w:rPr>
                  </w:pPr>
                  <w:r>
                    <w:rPr>
                      <w:kern w:val="0"/>
                      <w:sz w:val="21"/>
                      <w:szCs w:val="21"/>
                    </w:rPr>
                    <w:t>二类区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47" w:type="pct"/>
                  <w:vAlign w:val="center"/>
                </w:tcPr>
                <w:p>
                  <w:pPr>
                    <w:pStyle w:val="13"/>
                    <w:spacing w:line="240" w:lineRule="auto"/>
                    <w:ind w:firstLine="0"/>
                    <w:jc w:val="center"/>
                    <w:rPr>
                      <w:kern w:val="0"/>
                      <w:sz w:val="21"/>
                      <w:szCs w:val="21"/>
                    </w:rPr>
                  </w:pPr>
                  <w:r>
                    <w:rPr>
                      <w:kern w:val="0"/>
                      <w:sz w:val="21"/>
                      <w:szCs w:val="21"/>
                    </w:rPr>
                    <w:t>下笼嘎村聚集区</w:t>
                  </w:r>
                </w:p>
              </w:tc>
              <w:tc>
                <w:tcPr>
                  <w:tcW w:w="1041" w:type="pct"/>
                  <w:vAlign w:val="center"/>
                </w:tcPr>
                <w:p>
                  <w:pPr>
                    <w:pStyle w:val="13"/>
                    <w:spacing w:line="240" w:lineRule="auto"/>
                    <w:ind w:firstLine="0"/>
                    <w:rPr>
                      <w:kern w:val="0"/>
                      <w:sz w:val="21"/>
                      <w:szCs w:val="21"/>
                    </w:rPr>
                  </w:pPr>
                  <w:r>
                    <w:rPr>
                      <w:kern w:val="0"/>
                      <w:sz w:val="21"/>
                      <w:szCs w:val="21"/>
                    </w:rPr>
                    <w:t>E：99°5′8.71″</w:t>
                  </w:r>
                </w:p>
                <w:p>
                  <w:pPr>
                    <w:pStyle w:val="13"/>
                    <w:spacing w:line="240" w:lineRule="auto"/>
                    <w:ind w:firstLine="0"/>
                    <w:rPr>
                      <w:kern w:val="0"/>
                      <w:sz w:val="21"/>
                      <w:szCs w:val="21"/>
                    </w:rPr>
                  </w:pPr>
                  <w:r>
                    <w:rPr>
                      <w:kern w:val="0"/>
                      <w:sz w:val="21"/>
                      <w:szCs w:val="21"/>
                    </w:rPr>
                    <w:t>N：27°21′11.37″</w:t>
                  </w:r>
                </w:p>
              </w:tc>
              <w:tc>
                <w:tcPr>
                  <w:tcW w:w="825" w:type="pct"/>
                  <w:vAlign w:val="center"/>
                </w:tcPr>
                <w:p>
                  <w:pPr>
                    <w:pStyle w:val="13"/>
                    <w:spacing w:line="240" w:lineRule="auto"/>
                    <w:ind w:firstLine="0"/>
                    <w:jc w:val="center"/>
                    <w:rPr>
                      <w:kern w:val="0"/>
                      <w:sz w:val="21"/>
                      <w:szCs w:val="21"/>
                    </w:rPr>
                  </w:pPr>
                  <w:r>
                    <w:rPr>
                      <w:kern w:val="0"/>
                      <w:sz w:val="21"/>
                      <w:szCs w:val="21"/>
                    </w:rPr>
                    <w:t>北侧</w:t>
                  </w:r>
                </w:p>
              </w:tc>
              <w:tc>
                <w:tcPr>
                  <w:tcW w:w="564" w:type="pct"/>
                  <w:vAlign w:val="center"/>
                </w:tcPr>
                <w:p>
                  <w:pPr>
                    <w:pStyle w:val="13"/>
                    <w:spacing w:line="240" w:lineRule="auto"/>
                    <w:ind w:firstLine="0"/>
                    <w:jc w:val="center"/>
                    <w:rPr>
                      <w:kern w:val="0"/>
                      <w:sz w:val="21"/>
                      <w:szCs w:val="21"/>
                    </w:rPr>
                  </w:pPr>
                  <w:r>
                    <w:rPr>
                      <w:kern w:val="0"/>
                      <w:sz w:val="21"/>
                      <w:szCs w:val="21"/>
                    </w:rPr>
                    <w:t>270m</w:t>
                  </w:r>
                </w:p>
              </w:tc>
              <w:tc>
                <w:tcPr>
                  <w:tcW w:w="909" w:type="pct"/>
                  <w:vAlign w:val="center"/>
                </w:tcPr>
                <w:p>
                  <w:pPr>
                    <w:pStyle w:val="13"/>
                    <w:spacing w:line="240" w:lineRule="auto"/>
                    <w:ind w:firstLine="0"/>
                    <w:jc w:val="center"/>
                    <w:rPr>
                      <w:kern w:val="0"/>
                      <w:sz w:val="21"/>
                      <w:szCs w:val="21"/>
                    </w:rPr>
                  </w:pPr>
                  <w:r>
                    <w:rPr>
                      <w:kern w:val="0"/>
                      <w:sz w:val="21"/>
                      <w:szCs w:val="21"/>
                    </w:rPr>
                    <w:t>约40户，200人</w:t>
                  </w:r>
                </w:p>
              </w:tc>
              <w:tc>
                <w:tcPr>
                  <w:tcW w:w="614" w:type="pct"/>
                  <w:vMerge w:val="continue"/>
                  <w:vAlign w:val="center"/>
                </w:tcPr>
                <w:p>
                  <w:pPr>
                    <w:pStyle w:val="13"/>
                    <w:spacing w:line="240" w:lineRule="auto"/>
                    <w:ind w:firstLine="0"/>
                    <w:jc w:val="center"/>
                    <w:rPr>
                      <w:kern w:val="0"/>
                      <w:sz w:val="21"/>
                      <w:szCs w:val="21"/>
                    </w:rPr>
                  </w:pPr>
                </w:p>
              </w:tc>
            </w:tr>
            <w:bookmarkEnd w:id="43"/>
          </w:tbl>
          <w:p>
            <w:pPr>
              <w:pStyle w:val="13"/>
              <w:spacing w:line="360" w:lineRule="auto"/>
              <w:ind w:firstLine="0"/>
              <w:jc w:val="left"/>
              <w:rPr>
                <w:b/>
                <w:bCs/>
                <w:kern w:val="0"/>
              </w:rPr>
            </w:pPr>
            <w:r>
              <w:rPr>
                <w:b/>
                <w:bCs/>
                <w:kern w:val="0"/>
              </w:rPr>
              <w:t>2、声环境保护目标</w:t>
            </w:r>
          </w:p>
          <w:p>
            <w:pPr>
              <w:pStyle w:val="13"/>
              <w:spacing w:line="360" w:lineRule="auto"/>
              <w:ind w:firstLine="480" w:firstLineChars="200"/>
              <w:jc w:val="left"/>
              <w:rPr>
                <w:kern w:val="0"/>
              </w:rPr>
            </w:pPr>
            <w:r>
              <w:rPr>
                <w:rFonts w:hint="eastAsia"/>
                <w:kern w:val="0"/>
              </w:rPr>
              <w:t>根据现场踏勘调查，项目选址周边</w:t>
            </w:r>
            <w:r>
              <w:rPr>
                <w:kern w:val="0"/>
              </w:rPr>
              <w:t>50</w:t>
            </w:r>
            <w:r>
              <w:rPr>
                <w:rFonts w:hint="eastAsia"/>
                <w:kern w:val="0"/>
              </w:rPr>
              <w:t>m范围内不存在医院、学校、机关、科研单位、住宅等需依据法律、法规、标准政策等确定的需要保持安静的建筑物及建筑物集中区，选址周边无声环境保护目标分布。</w:t>
            </w:r>
          </w:p>
          <w:p>
            <w:pPr>
              <w:pStyle w:val="13"/>
              <w:spacing w:line="360" w:lineRule="auto"/>
              <w:ind w:firstLine="0"/>
              <w:jc w:val="left"/>
              <w:rPr>
                <w:b/>
                <w:bCs/>
                <w:kern w:val="0"/>
              </w:rPr>
            </w:pPr>
            <w:r>
              <w:rPr>
                <w:rFonts w:hint="eastAsia"/>
                <w:b/>
                <w:bCs/>
                <w:kern w:val="0"/>
              </w:rPr>
              <w:t>3、地表水环境保护目标</w:t>
            </w:r>
          </w:p>
          <w:p>
            <w:pPr>
              <w:pStyle w:val="13"/>
              <w:spacing w:line="360" w:lineRule="auto"/>
              <w:ind w:firstLine="480" w:firstLineChars="200"/>
              <w:jc w:val="left"/>
              <w:rPr>
                <w:kern w:val="0"/>
              </w:rPr>
            </w:pPr>
            <w:r>
              <w:rPr>
                <w:rFonts w:hint="eastAsia"/>
                <w:kern w:val="0"/>
              </w:rPr>
              <w:t>根据现场踏勘调查，本项目主要地表水环境保护目标为</w:t>
            </w:r>
            <w:r>
              <w:rPr>
                <w:rFonts w:hint="eastAsia" w:cs="宋体"/>
              </w:rPr>
              <w:t>项目区东侧约</w:t>
            </w:r>
            <w:r>
              <w:rPr>
                <w:rFonts w:cs="宋体"/>
              </w:rPr>
              <w:t>180</w:t>
            </w:r>
            <w:r>
              <w:rPr>
                <w:rFonts w:hint="eastAsia" w:cs="宋体"/>
              </w:rPr>
              <w:t>m处的澜沧江干流</w:t>
            </w:r>
            <w:r>
              <w:rPr>
                <w:rFonts w:hint="eastAsia"/>
                <w:kern w:val="0"/>
              </w:rPr>
              <w:t>（区域水系详见</w:t>
            </w:r>
            <w:r>
              <w:rPr>
                <w:rFonts w:hint="eastAsia"/>
                <w:b/>
                <w:kern w:val="0"/>
                <w:u w:val="single"/>
              </w:rPr>
              <w:t>附图4</w:t>
            </w:r>
            <w:r>
              <w:rPr>
                <w:rFonts w:hint="eastAsia"/>
                <w:kern w:val="0"/>
              </w:rPr>
              <w:t>）。</w:t>
            </w:r>
          </w:p>
          <w:p>
            <w:pPr>
              <w:pStyle w:val="13"/>
              <w:spacing w:line="240" w:lineRule="auto"/>
              <w:ind w:firstLine="0"/>
              <w:jc w:val="center"/>
              <w:rPr>
                <w:b/>
                <w:kern w:val="0"/>
              </w:rPr>
            </w:pPr>
            <w:r>
              <w:rPr>
                <w:rFonts w:hint="eastAsia"/>
                <w:b/>
                <w:kern w:val="0"/>
              </w:rPr>
              <w:t>表3</w:t>
            </w:r>
            <w:r>
              <w:rPr>
                <w:b/>
                <w:kern w:val="0"/>
              </w:rPr>
              <w:t xml:space="preserve">.5-2  </w:t>
            </w:r>
            <w:r>
              <w:rPr>
                <w:rFonts w:hint="eastAsia"/>
                <w:b/>
                <w:kern w:val="0"/>
              </w:rPr>
              <w:t>地表水环境保护目标一览表</w:t>
            </w:r>
          </w:p>
          <w:tbl>
            <w:tblPr>
              <w:tblStyle w:val="7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4"/>
              <w:gridCol w:w="1276"/>
              <w:gridCol w:w="1134"/>
              <w:gridCol w:w="1134"/>
              <w:gridCol w:w="3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4" w:type="dxa"/>
                  <w:vAlign w:val="center"/>
                </w:tcPr>
                <w:p>
                  <w:pPr>
                    <w:jc w:val="center"/>
                    <w:rPr>
                      <w:b/>
                      <w:bCs/>
                      <w:szCs w:val="21"/>
                    </w:rPr>
                  </w:pPr>
                  <w:r>
                    <w:rPr>
                      <w:rFonts w:hint="eastAsia"/>
                      <w:b/>
                      <w:bCs/>
                      <w:szCs w:val="21"/>
                    </w:rPr>
                    <w:t>保护对象</w:t>
                  </w:r>
                </w:p>
              </w:tc>
              <w:tc>
                <w:tcPr>
                  <w:tcW w:w="1276" w:type="dxa"/>
                  <w:vAlign w:val="center"/>
                </w:tcPr>
                <w:p>
                  <w:pPr>
                    <w:jc w:val="center"/>
                    <w:rPr>
                      <w:b/>
                      <w:bCs/>
                      <w:szCs w:val="21"/>
                    </w:rPr>
                  </w:pPr>
                  <w:r>
                    <w:rPr>
                      <w:rFonts w:hint="eastAsia"/>
                      <w:b/>
                      <w:bCs/>
                      <w:szCs w:val="21"/>
                    </w:rPr>
                    <w:t>较厂址方位</w:t>
                  </w:r>
                </w:p>
              </w:tc>
              <w:tc>
                <w:tcPr>
                  <w:tcW w:w="1134" w:type="dxa"/>
                  <w:vAlign w:val="center"/>
                </w:tcPr>
                <w:p>
                  <w:pPr>
                    <w:jc w:val="center"/>
                    <w:rPr>
                      <w:b/>
                      <w:bCs/>
                      <w:szCs w:val="21"/>
                    </w:rPr>
                  </w:pPr>
                  <w:r>
                    <w:rPr>
                      <w:rFonts w:hint="eastAsia"/>
                      <w:b/>
                      <w:bCs/>
                      <w:szCs w:val="21"/>
                    </w:rPr>
                    <w:t>相对距离</w:t>
                  </w:r>
                </w:p>
              </w:tc>
              <w:tc>
                <w:tcPr>
                  <w:tcW w:w="1134" w:type="dxa"/>
                  <w:vAlign w:val="center"/>
                </w:tcPr>
                <w:p>
                  <w:pPr>
                    <w:jc w:val="center"/>
                    <w:rPr>
                      <w:b/>
                      <w:bCs/>
                      <w:szCs w:val="21"/>
                    </w:rPr>
                  </w:pPr>
                  <w:r>
                    <w:rPr>
                      <w:rFonts w:hint="eastAsia"/>
                      <w:b/>
                      <w:bCs/>
                      <w:szCs w:val="21"/>
                    </w:rPr>
                    <w:t>功能区划</w:t>
                  </w:r>
                </w:p>
              </w:tc>
              <w:tc>
                <w:tcPr>
                  <w:tcW w:w="3193" w:type="dxa"/>
                  <w:vAlign w:val="center"/>
                </w:tcPr>
                <w:p>
                  <w:pPr>
                    <w:jc w:val="center"/>
                    <w:rPr>
                      <w:b/>
                      <w:bCs/>
                      <w:szCs w:val="21"/>
                    </w:rPr>
                  </w:pPr>
                  <w:r>
                    <w:rPr>
                      <w:rFonts w:hint="eastAsia"/>
                      <w:b/>
                      <w:bCs/>
                      <w:szCs w:val="21"/>
                    </w:rPr>
                    <w:t>保护要求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4" w:type="dxa"/>
                  <w:vAlign w:val="center"/>
                </w:tcPr>
                <w:p>
                  <w:pPr>
                    <w:jc w:val="center"/>
                    <w:rPr>
                      <w:szCs w:val="21"/>
                    </w:rPr>
                  </w:pPr>
                  <w:r>
                    <w:rPr>
                      <w:rFonts w:hint="eastAsia"/>
                      <w:szCs w:val="21"/>
                    </w:rPr>
                    <w:t>澜沧江</w:t>
                  </w:r>
                </w:p>
              </w:tc>
              <w:tc>
                <w:tcPr>
                  <w:tcW w:w="1276" w:type="dxa"/>
                  <w:vAlign w:val="center"/>
                </w:tcPr>
                <w:p>
                  <w:pPr>
                    <w:jc w:val="center"/>
                    <w:rPr>
                      <w:szCs w:val="21"/>
                    </w:rPr>
                  </w:pPr>
                  <w:r>
                    <w:rPr>
                      <w:rFonts w:hint="eastAsia"/>
                      <w:szCs w:val="21"/>
                    </w:rPr>
                    <w:t>东侧</w:t>
                  </w:r>
                </w:p>
              </w:tc>
              <w:tc>
                <w:tcPr>
                  <w:tcW w:w="1134" w:type="dxa"/>
                  <w:vAlign w:val="center"/>
                </w:tcPr>
                <w:p>
                  <w:pPr>
                    <w:jc w:val="center"/>
                    <w:rPr>
                      <w:szCs w:val="21"/>
                    </w:rPr>
                  </w:pPr>
                  <w:r>
                    <w:rPr>
                      <w:szCs w:val="21"/>
                    </w:rPr>
                    <w:t>180</w:t>
                  </w:r>
                  <w:r>
                    <w:rPr>
                      <w:rFonts w:hint="eastAsia"/>
                      <w:szCs w:val="21"/>
                    </w:rPr>
                    <w:t>m</w:t>
                  </w:r>
                </w:p>
              </w:tc>
              <w:tc>
                <w:tcPr>
                  <w:tcW w:w="1134" w:type="dxa"/>
                  <w:vAlign w:val="center"/>
                </w:tcPr>
                <w:p>
                  <w:pPr>
                    <w:jc w:val="center"/>
                    <w:rPr>
                      <w:szCs w:val="21"/>
                    </w:rPr>
                  </w:pPr>
                  <w:r>
                    <w:rPr>
                      <w:rFonts w:hint="eastAsia"/>
                      <w:szCs w:val="21"/>
                    </w:rPr>
                    <w:t>II类</w:t>
                  </w:r>
                </w:p>
              </w:tc>
              <w:tc>
                <w:tcPr>
                  <w:tcW w:w="3193" w:type="dxa"/>
                  <w:vAlign w:val="center"/>
                </w:tcPr>
                <w:p>
                  <w:pPr>
                    <w:jc w:val="center"/>
                    <w:rPr>
                      <w:szCs w:val="21"/>
                    </w:rPr>
                  </w:pPr>
                  <w:r>
                    <w:rPr>
                      <w:rFonts w:hint="eastAsia"/>
                      <w:szCs w:val="21"/>
                    </w:rPr>
                    <w:t>GB</w:t>
                  </w:r>
                  <w:r>
                    <w:rPr>
                      <w:szCs w:val="21"/>
                    </w:rPr>
                    <w:t xml:space="preserve"> 3838-2002</w:t>
                  </w:r>
                  <w:r>
                    <w:rPr>
                      <w:rFonts w:hint="eastAsia"/>
                      <w:szCs w:val="21"/>
                    </w:rPr>
                    <w:t>《地表水环境质量标准》II类标准</w:t>
                  </w:r>
                </w:p>
              </w:tc>
            </w:tr>
          </w:tbl>
          <w:p>
            <w:pPr>
              <w:pStyle w:val="13"/>
              <w:spacing w:line="360" w:lineRule="auto"/>
              <w:ind w:firstLine="0"/>
              <w:jc w:val="left"/>
              <w:rPr>
                <w:b/>
                <w:bCs/>
                <w:kern w:val="0"/>
              </w:rPr>
            </w:pPr>
            <w:r>
              <w:rPr>
                <w:rFonts w:hint="eastAsia"/>
                <w:b/>
                <w:bCs/>
                <w:kern w:val="0"/>
              </w:rPr>
              <w:t>4</w:t>
            </w:r>
            <w:r>
              <w:rPr>
                <w:b/>
                <w:bCs/>
                <w:kern w:val="0"/>
              </w:rPr>
              <w:t>、地下水环境保护目标</w:t>
            </w:r>
          </w:p>
          <w:p>
            <w:pPr>
              <w:pStyle w:val="13"/>
              <w:spacing w:line="360" w:lineRule="auto"/>
              <w:ind w:firstLine="480" w:firstLineChars="200"/>
              <w:jc w:val="left"/>
              <w:rPr>
                <w:kern w:val="0"/>
              </w:rPr>
            </w:pPr>
            <w:r>
              <w:rPr>
                <w:kern w:val="0"/>
              </w:rPr>
              <w:t>根据踏勘调查</w:t>
            </w:r>
            <w:r>
              <w:rPr>
                <w:rFonts w:hint="eastAsia"/>
                <w:kern w:val="0"/>
              </w:rPr>
              <w:t>及区域水文地质资料</w:t>
            </w:r>
            <w:r>
              <w:rPr>
                <w:kern w:val="0"/>
              </w:rPr>
              <w:t>，</w:t>
            </w:r>
            <w:r>
              <w:rPr>
                <w:rFonts w:hint="eastAsia"/>
                <w:kern w:val="0"/>
              </w:rPr>
              <w:t>项目区周边</w:t>
            </w:r>
            <w:r>
              <w:rPr>
                <w:kern w:val="0"/>
              </w:rPr>
              <w:t>500m范围内无地下水集中式饮用水水源和热水、矿泉水、温泉等特殊地下水资源</w:t>
            </w:r>
            <w:r>
              <w:rPr>
                <w:rFonts w:hint="eastAsia"/>
                <w:kern w:val="0"/>
              </w:rPr>
              <w:t>，无地表水环境保护目标分布。</w:t>
            </w:r>
          </w:p>
          <w:p>
            <w:pPr>
              <w:pStyle w:val="13"/>
              <w:spacing w:line="360" w:lineRule="auto"/>
              <w:ind w:firstLine="0"/>
              <w:jc w:val="left"/>
              <w:rPr>
                <w:b/>
                <w:bCs/>
                <w:kern w:val="0"/>
              </w:rPr>
            </w:pPr>
            <w:r>
              <w:rPr>
                <w:rFonts w:hint="eastAsia"/>
                <w:b/>
                <w:bCs/>
                <w:kern w:val="0"/>
              </w:rPr>
              <w:t>5</w:t>
            </w:r>
            <w:r>
              <w:rPr>
                <w:b/>
                <w:bCs/>
                <w:kern w:val="0"/>
              </w:rPr>
              <w:t>、生态环境保护目标</w:t>
            </w:r>
          </w:p>
          <w:p>
            <w:pPr>
              <w:pStyle w:val="13"/>
              <w:spacing w:line="360" w:lineRule="auto"/>
              <w:ind w:firstLine="480" w:firstLineChars="200"/>
              <w:rPr>
                <w:kern w:val="0"/>
              </w:rPr>
            </w:pPr>
            <w:r>
              <w:rPr>
                <w:rFonts w:hint="eastAsia"/>
              </w:rPr>
              <w:t>项目选址位于维西傈僳族自治县白济汛乡下笼嘎组，地理中心坐标为东经：99度5分7.2457秒，北纬：27度21分13.755秒</w:t>
            </w:r>
            <w:r>
              <w:rPr>
                <w:rFonts w:hint="eastAsia"/>
                <w:kern w:val="0"/>
              </w:rPr>
              <w:t>。根据调查，项目用地范围内不包括重要物种、生态敏感区以及其他需要保护的物种、种群、生物群落及生态空间等，项目选址周边评价范围内无生态环境保护目标分布。</w:t>
            </w:r>
            <w:bookmarkEnd w:id="42"/>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2" w:type="dxa"/>
            <w:vAlign w:val="center"/>
          </w:tcPr>
          <w:p>
            <w:pPr>
              <w:adjustRightInd w:val="0"/>
              <w:snapToGrid w:val="0"/>
              <w:jc w:val="center"/>
              <w:rPr>
                <w:b/>
                <w:bCs/>
                <w:kern w:val="0"/>
                <w:sz w:val="24"/>
              </w:rPr>
            </w:pPr>
            <w:r>
              <w:rPr>
                <w:b/>
                <w:bCs/>
                <w:kern w:val="0"/>
                <w:sz w:val="24"/>
              </w:rPr>
              <w:t>污染</w:t>
            </w:r>
          </w:p>
          <w:p>
            <w:pPr>
              <w:adjustRightInd w:val="0"/>
              <w:snapToGrid w:val="0"/>
              <w:jc w:val="center"/>
              <w:rPr>
                <w:b/>
                <w:bCs/>
                <w:kern w:val="0"/>
                <w:sz w:val="24"/>
              </w:rPr>
            </w:pPr>
            <w:r>
              <w:rPr>
                <w:b/>
                <w:bCs/>
                <w:kern w:val="0"/>
                <w:sz w:val="24"/>
              </w:rPr>
              <w:t>物排</w:t>
            </w:r>
          </w:p>
          <w:p>
            <w:pPr>
              <w:adjustRightInd w:val="0"/>
              <w:snapToGrid w:val="0"/>
              <w:jc w:val="center"/>
              <w:rPr>
                <w:b/>
                <w:bCs/>
                <w:kern w:val="0"/>
                <w:sz w:val="24"/>
              </w:rPr>
            </w:pPr>
            <w:r>
              <w:rPr>
                <w:b/>
                <w:bCs/>
                <w:kern w:val="0"/>
                <w:sz w:val="24"/>
              </w:rPr>
              <w:t>放控</w:t>
            </w:r>
          </w:p>
          <w:p>
            <w:pPr>
              <w:adjustRightInd w:val="0"/>
              <w:snapToGrid w:val="0"/>
              <w:jc w:val="center"/>
              <w:rPr>
                <w:b/>
                <w:bCs/>
                <w:kern w:val="0"/>
                <w:sz w:val="24"/>
              </w:rPr>
            </w:pPr>
            <w:r>
              <w:rPr>
                <w:b/>
                <w:bCs/>
                <w:kern w:val="0"/>
                <w:sz w:val="24"/>
              </w:rPr>
              <w:t>制标</w:t>
            </w:r>
          </w:p>
          <w:p>
            <w:pPr>
              <w:adjustRightInd w:val="0"/>
              <w:snapToGrid w:val="0"/>
              <w:jc w:val="center"/>
              <w:rPr>
                <w:b/>
                <w:bCs/>
                <w:kern w:val="0"/>
                <w:sz w:val="24"/>
              </w:rPr>
            </w:pPr>
            <w:r>
              <w:rPr>
                <w:b/>
                <w:bCs/>
                <w:kern w:val="0"/>
                <w:sz w:val="24"/>
              </w:rPr>
              <w:t>准</w:t>
            </w:r>
          </w:p>
        </w:tc>
        <w:tc>
          <w:tcPr>
            <w:tcW w:w="8393" w:type="dxa"/>
            <w:vAlign w:val="center"/>
          </w:tcPr>
          <w:p>
            <w:pPr>
              <w:spacing w:line="360" w:lineRule="auto"/>
              <w:rPr>
                <w:rFonts w:ascii="黑体" w:hAnsi="黑体" w:eastAsia="黑体"/>
                <w:b/>
                <w:bCs/>
                <w:color w:val="0000FF"/>
                <w:kern w:val="0"/>
                <w:sz w:val="24"/>
              </w:rPr>
            </w:pPr>
            <w:r>
              <w:rPr>
                <w:rFonts w:hint="eastAsia" w:ascii="黑体" w:hAnsi="黑体" w:eastAsia="黑体"/>
                <w:b/>
                <w:bCs/>
                <w:color w:val="0000FF"/>
                <w:kern w:val="0"/>
                <w:sz w:val="24"/>
              </w:rPr>
              <w:t>（六）施工期污染物排放控制标准</w:t>
            </w:r>
          </w:p>
          <w:p>
            <w:pPr>
              <w:pStyle w:val="13"/>
              <w:spacing w:line="360" w:lineRule="auto"/>
              <w:ind w:firstLine="480" w:firstLineChars="200"/>
              <w:rPr>
                <w:color w:val="0000FF"/>
                <w:kern w:val="0"/>
              </w:rPr>
            </w:pPr>
            <w:bookmarkStart w:id="44" w:name="_Hlk138770380"/>
            <w:bookmarkStart w:id="45" w:name="_Hlk143501405"/>
            <w:r>
              <w:rPr>
                <w:rFonts w:hint="eastAsia"/>
                <w:color w:val="0000FF"/>
                <w:kern w:val="0"/>
              </w:rPr>
              <w:t>项目环保设施整改期间施工厂界颗粒物（TSP）无组织排放执行《大气污染物综合排放标准》（GB 16297-1996）表2中无组织排放监控浓度限值要求，标准限值如下：</w:t>
            </w:r>
          </w:p>
          <w:p>
            <w:pPr>
              <w:pStyle w:val="13"/>
              <w:spacing w:line="240" w:lineRule="auto"/>
              <w:ind w:firstLine="0"/>
              <w:jc w:val="center"/>
              <w:rPr>
                <w:b/>
                <w:bCs/>
                <w:color w:val="0000FF"/>
                <w:kern w:val="0"/>
              </w:rPr>
            </w:pPr>
            <w:r>
              <w:rPr>
                <w:rFonts w:hint="eastAsia"/>
                <w:b/>
                <w:bCs/>
                <w:color w:val="0000FF"/>
                <w:kern w:val="0"/>
              </w:rPr>
              <w:t>表3</w:t>
            </w:r>
            <w:r>
              <w:rPr>
                <w:b/>
                <w:bCs/>
                <w:color w:val="0000FF"/>
                <w:kern w:val="0"/>
              </w:rPr>
              <w:t xml:space="preserve">.6-1  </w:t>
            </w:r>
            <w:r>
              <w:rPr>
                <w:rFonts w:hint="eastAsia"/>
                <w:b/>
                <w:bCs/>
                <w:color w:val="0000FF"/>
                <w:kern w:val="0"/>
              </w:rPr>
              <w:t>大气污染物综合排放标准限值（部分摘录）</w:t>
            </w:r>
          </w:p>
          <w:tbl>
            <w:tblPr>
              <w:tblStyle w:val="3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3886"/>
              <w:gridCol w:w="2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061" w:type="pct"/>
                  <w:vMerge w:val="restart"/>
                  <w:vAlign w:val="center"/>
                </w:tcPr>
                <w:p>
                  <w:pPr>
                    <w:widowControl/>
                    <w:jc w:val="center"/>
                    <w:rPr>
                      <w:b/>
                      <w:bCs/>
                      <w:color w:val="0000FF"/>
                      <w:kern w:val="0"/>
                      <w:szCs w:val="21"/>
                    </w:rPr>
                  </w:pPr>
                  <w:r>
                    <w:rPr>
                      <w:b/>
                      <w:bCs/>
                      <w:color w:val="0000FF"/>
                      <w:kern w:val="0"/>
                      <w:szCs w:val="21"/>
                    </w:rPr>
                    <w:t>污染物</w:t>
                  </w:r>
                </w:p>
              </w:tc>
              <w:tc>
                <w:tcPr>
                  <w:tcW w:w="3938" w:type="pct"/>
                  <w:gridSpan w:val="2"/>
                  <w:vAlign w:val="center"/>
                </w:tcPr>
                <w:p>
                  <w:pPr>
                    <w:widowControl/>
                    <w:jc w:val="center"/>
                    <w:rPr>
                      <w:b/>
                      <w:bCs/>
                      <w:color w:val="0000FF"/>
                      <w:kern w:val="0"/>
                      <w:szCs w:val="21"/>
                    </w:rPr>
                  </w:pPr>
                  <w:r>
                    <w:rPr>
                      <w:b/>
                      <w:bCs/>
                      <w:color w:val="0000FF"/>
                      <w:kern w:val="0"/>
                      <w:szCs w:val="21"/>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061" w:type="pct"/>
                  <w:vMerge w:val="continue"/>
                  <w:vAlign w:val="center"/>
                </w:tcPr>
                <w:p>
                  <w:pPr>
                    <w:widowControl/>
                    <w:jc w:val="center"/>
                    <w:rPr>
                      <w:b/>
                      <w:bCs/>
                      <w:color w:val="0000FF"/>
                      <w:kern w:val="0"/>
                      <w:szCs w:val="21"/>
                    </w:rPr>
                  </w:pPr>
                </w:p>
              </w:tc>
              <w:tc>
                <w:tcPr>
                  <w:tcW w:w="2379" w:type="pct"/>
                  <w:vAlign w:val="center"/>
                </w:tcPr>
                <w:p>
                  <w:pPr>
                    <w:widowControl/>
                    <w:jc w:val="center"/>
                    <w:rPr>
                      <w:b/>
                      <w:bCs/>
                      <w:color w:val="0000FF"/>
                      <w:kern w:val="0"/>
                      <w:szCs w:val="21"/>
                    </w:rPr>
                  </w:pPr>
                  <w:r>
                    <w:rPr>
                      <w:b/>
                      <w:bCs/>
                      <w:color w:val="0000FF"/>
                      <w:kern w:val="0"/>
                      <w:szCs w:val="21"/>
                    </w:rPr>
                    <w:t>监控点</w:t>
                  </w:r>
                </w:p>
              </w:tc>
              <w:tc>
                <w:tcPr>
                  <w:tcW w:w="1559" w:type="pct"/>
                  <w:vAlign w:val="center"/>
                </w:tcPr>
                <w:p>
                  <w:pPr>
                    <w:widowControl/>
                    <w:jc w:val="center"/>
                    <w:rPr>
                      <w:b/>
                      <w:bCs/>
                      <w:color w:val="0000FF"/>
                      <w:kern w:val="0"/>
                      <w:szCs w:val="21"/>
                    </w:rPr>
                  </w:pPr>
                  <w:r>
                    <w:rPr>
                      <w:b/>
                      <w:bCs/>
                      <w:color w:val="0000FF"/>
                      <w:kern w:val="0"/>
                      <w:szCs w:val="21"/>
                    </w:rPr>
                    <w:t>浓度mg/m³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061" w:type="pct"/>
                  <w:vAlign w:val="center"/>
                </w:tcPr>
                <w:p>
                  <w:pPr>
                    <w:widowControl/>
                    <w:jc w:val="center"/>
                    <w:rPr>
                      <w:color w:val="0000FF"/>
                      <w:kern w:val="0"/>
                      <w:szCs w:val="21"/>
                    </w:rPr>
                  </w:pPr>
                  <w:r>
                    <w:rPr>
                      <w:color w:val="0000FF"/>
                      <w:kern w:val="0"/>
                      <w:szCs w:val="21"/>
                    </w:rPr>
                    <w:t>颗粒物</w:t>
                  </w:r>
                </w:p>
              </w:tc>
              <w:tc>
                <w:tcPr>
                  <w:tcW w:w="2379" w:type="pct"/>
                  <w:vAlign w:val="center"/>
                </w:tcPr>
                <w:p>
                  <w:pPr>
                    <w:widowControl/>
                    <w:jc w:val="center"/>
                    <w:rPr>
                      <w:color w:val="0000FF"/>
                      <w:kern w:val="0"/>
                      <w:szCs w:val="21"/>
                    </w:rPr>
                  </w:pPr>
                  <w:r>
                    <w:rPr>
                      <w:color w:val="0000FF"/>
                      <w:kern w:val="0"/>
                      <w:szCs w:val="21"/>
                    </w:rPr>
                    <w:t>周围外浓度最高点</w:t>
                  </w:r>
                </w:p>
              </w:tc>
              <w:tc>
                <w:tcPr>
                  <w:tcW w:w="1559" w:type="pct"/>
                  <w:vAlign w:val="center"/>
                </w:tcPr>
                <w:p>
                  <w:pPr>
                    <w:widowControl/>
                    <w:jc w:val="center"/>
                    <w:rPr>
                      <w:color w:val="0000FF"/>
                      <w:kern w:val="0"/>
                      <w:szCs w:val="21"/>
                    </w:rPr>
                  </w:pPr>
                  <w:r>
                    <w:rPr>
                      <w:color w:val="0000FF"/>
                      <w:kern w:val="0"/>
                      <w:szCs w:val="21"/>
                    </w:rPr>
                    <w:t>1.0</w:t>
                  </w:r>
                </w:p>
              </w:tc>
            </w:tr>
            <w:bookmarkEnd w:id="44"/>
          </w:tbl>
          <w:p>
            <w:pPr>
              <w:pStyle w:val="13"/>
              <w:spacing w:line="360" w:lineRule="auto"/>
              <w:ind w:firstLine="0"/>
              <w:rPr>
                <w:b/>
                <w:color w:val="0000FF"/>
                <w:kern w:val="0"/>
              </w:rPr>
            </w:pPr>
            <w:r>
              <w:rPr>
                <w:rFonts w:hint="eastAsia"/>
                <w:b/>
                <w:color w:val="0000FF"/>
                <w:kern w:val="0"/>
              </w:rPr>
              <w:t>2、水污染物排放标准</w:t>
            </w:r>
          </w:p>
          <w:p>
            <w:pPr>
              <w:pStyle w:val="13"/>
              <w:spacing w:line="360" w:lineRule="auto"/>
              <w:ind w:firstLine="480" w:firstLineChars="200"/>
              <w:rPr>
                <w:color w:val="0000FF"/>
                <w:kern w:val="0"/>
              </w:rPr>
            </w:pPr>
            <w:r>
              <w:rPr>
                <w:rFonts w:hint="eastAsia"/>
                <w:color w:val="0000FF"/>
                <w:kern w:val="0"/>
              </w:rPr>
              <w:t>项目后续整改期间废水主要为施工人员生活污水。生活污水经化粪池收集沉淀处理后收集于清水池内，运营期回用于洗砂生产线，不外排，故施工期不设水污染物排放标准。</w:t>
            </w:r>
          </w:p>
          <w:p>
            <w:pPr>
              <w:pStyle w:val="13"/>
              <w:spacing w:line="360" w:lineRule="auto"/>
              <w:ind w:firstLine="0"/>
              <w:rPr>
                <w:b/>
                <w:color w:val="0000FF"/>
                <w:kern w:val="0"/>
              </w:rPr>
            </w:pPr>
            <w:r>
              <w:rPr>
                <w:rFonts w:hint="eastAsia"/>
                <w:b/>
                <w:color w:val="0000FF"/>
                <w:kern w:val="0"/>
              </w:rPr>
              <w:t>3、噪声排放标准</w:t>
            </w:r>
          </w:p>
          <w:p>
            <w:pPr>
              <w:pStyle w:val="13"/>
              <w:spacing w:line="360" w:lineRule="auto"/>
              <w:ind w:firstLine="480" w:firstLineChars="200"/>
              <w:rPr>
                <w:color w:val="0000FF"/>
                <w:kern w:val="0"/>
              </w:rPr>
            </w:pPr>
            <w:r>
              <w:rPr>
                <w:rFonts w:hint="eastAsia"/>
                <w:color w:val="0000FF"/>
                <w:kern w:val="0"/>
              </w:rPr>
              <w:t>项目后续整改期间施工厂界噪声排放执行</w:t>
            </w:r>
            <w:r>
              <w:rPr>
                <w:color w:val="0000FF"/>
              </w:rPr>
              <w:t>《建筑施工场界环境噪声排放标准》</w:t>
            </w:r>
            <w:r>
              <w:rPr>
                <w:rFonts w:hint="eastAsia"/>
                <w:color w:val="0000FF"/>
              </w:rPr>
              <w:t>（</w:t>
            </w:r>
            <w:r>
              <w:rPr>
                <w:color w:val="0000FF"/>
              </w:rPr>
              <w:t>GB 12523-2011</w:t>
            </w:r>
            <w:r>
              <w:rPr>
                <w:rFonts w:hint="eastAsia"/>
                <w:color w:val="0000FF"/>
              </w:rPr>
              <w:t>）</w:t>
            </w:r>
            <w:r>
              <w:rPr>
                <w:color w:val="0000FF"/>
              </w:rPr>
              <w:t>标准要求</w:t>
            </w:r>
            <w:r>
              <w:rPr>
                <w:rFonts w:hint="eastAsia"/>
                <w:color w:val="0000FF"/>
              </w:rPr>
              <w:t>，具体如下：</w:t>
            </w:r>
          </w:p>
          <w:p>
            <w:pPr>
              <w:pStyle w:val="13"/>
              <w:spacing w:line="240" w:lineRule="auto"/>
              <w:ind w:firstLine="0"/>
              <w:jc w:val="center"/>
              <w:rPr>
                <w:b/>
                <w:bCs/>
                <w:color w:val="0000FF"/>
                <w:kern w:val="0"/>
              </w:rPr>
            </w:pPr>
            <w:r>
              <w:rPr>
                <w:rFonts w:hint="eastAsia"/>
                <w:b/>
                <w:bCs/>
                <w:color w:val="0000FF"/>
                <w:kern w:val="0"/>
              </w:rPr>
              <w:t>表3</w:t>
            </w:r>
            <w:r>
              <w:rPr>
                <w:b/>
                <w:bCs/>
                <w:color w:val="0000FF"/>
                <w:kern w:val="0"/>
              </w:rPr>
              <w:t xml:space="preserve">.6-2  </w:t>
            </w:r>
            <w:r>
              <w:rPr>
                <w:rFonts w:hint="eastAsia"/>
                <w:b/>
                <w:bCs/>
                <w:color w:val="0000FF"/>
                <w:kern w:val="0"/>
              </w:rPr>
              <w:t>建筑施工厂界环境噪声排放限值  单位：dB（A）</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83"/>
              <w:gridCol w:w="4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3" w:type="dxa"/>
                  <w:vAlign w:val="center"/>
                </w:tcPr>
                <w:p>
                  <w:pPr>
                    <w:autoSpaceDE w:val="0"/>
                    <w:autoSpaceDN w:val="0"/>
                    <w:jc w:val="center"/>
                    <w:rPr>
                      <w:b/>
                      <w:bCs/>
                      <w:color w:val="0000FF"/>
                      <w:szCs w:val="21"/>
                    </w:rPr>
                  </w:pPr>
                  <w:r>
                    <w:rPr>
                      <w:b/>
                      <w:bCs/>
                      <w:color w:val="0000FF"/>
                      <w:szCs w:val="21"/>
                    </w:rPr>
                    <w:t>昼间</w:t>
                  </w:r>
                </w:p>
              </w:tc>
              <w:tc>
                <w:tcPr>
                  <w:tcW w:w="4084" w:type="dxa"/>
                  <w:vAlign w:val="center"/>
                </w:tcPr>
                <w:p>
                  <w:pPr>
                    <w:autoSpaceDE w:val="0"/>
                    <w:autoSpaceDN w:val="0"/>
                    <w:jc w:val="center"/>
                    <w:rPr>
                      <w:b/>
                      <w:bCs/>
                      <w:color w:val="0000FF"/>
                      <w:szCs w:val="21"/>
                    </w:rPr>
                  </w:pPr>
                  <w:r>
                    <w:rPr>
                      <w:b/>
                      <w:bCs/>
                      <w:color w:val="0000FF"/>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3" w:type="dxa"/>
                  <w:vAlign w:val="center"/>
                </w:tcPr>
                <w:p>
                  <w:pPr>
                    <w:autoSpaceDE w:val="0"/>
                    <w:autoSpaceDN w:val="0"/>
                    <w:jc w:val="center"/>
                    <w:rPr>
                      <w:color w:val="0000FF"/>
                      <w:szCs w:val="21"/>
                    </w:rPr>
                  </w:pPr>
                  <w:r>
                    <w:rPr>
                      <w:color w:val="0000FF"/>
                      <w:szCs w:val="21"/>
                    </w:rPr>
                    <w:t>70</w:t>
                  </w:r>
                </w:p>
              </w:tc>
              <w:tc>
                <w:tcPr>
                  <w:tcW w:w="4084" w:type="dxa"/>
                  <w:vAlign w:val="center"/>
                </w:tcPr>
                <w:p>
                  <w:pPr>
                    <w:autoSpaceDE w:val="0"/>
                    <w:autoSpaceDN w:val="0"/>
                    <w:jc w:val="center"/>
                    <w:rPr>
                      <w:color w:val="0000FF"/>
                      <w:szCs w:val="21"/>
                    </w:rPr>
                  </w:pPr>
                  <w:r>
                    <w:rPr>
                      <w:color w:val="0000FF"/>
                      <w:szCs w:val="21"/>
                    </w:rPr>
                    <w:t>55</w:t>
                  </w:r>
                </w:p>
              </w:tc>
            </w:tr>
          </w:tbl>
          <w:p>
            <w:pPr>
              <w:pStyle w:val="13"/>
              <w:spacing w:line="360" w:lineRule="auto"/>
              <w:ind w:firstLine="0"/>
              <w:rPr>
                <w:b/>
                <w:color w:val="0000FF"/>
                <w:kern w:val="0"/>
              </w:rPr>
            </w:pPr>
            <w:r>
              <w:rPr>
                <w:rFonts w:hint="eastAsia"/>
                <w:b/>
                <w:color w:val="0000FF"/>
                <w:kern w:val="0"/>
              </w:rPr>
              <w:t>4、固体废物污染控制标准</w:t>
            </w:r>
          </w:p>
          <w:p>
            <w:pPr>
              <w:pStyle w:val="13"/>
              <w:spacing w:line="360" w:lineRule="auto"/>
              <w:ind w:firstLine="480" w:firstLineChars="200"/>
              <w:rPr>
                <w:color w:val="0000FF"/>
                <w:kern w:val="0"/>
              </w:rPr>
            </w:pPr>
            <w:r>
              <w:rPr>
                <w:color w:val="0000FF"/>
                <w:kern w:val="0"/>
              </w:rPr>
              <w:t>（1）</w:t>
            </w:r>
            <w:r>
              <w:rPr>
                <w:rFonts w:hint="eastAsia"/>
                <w:color w:val="0000FF"/>
                <w:kern w:val="0"/>
              </w:rPr>
              <w:t>项目后续整改期间</w:t>
            </w:r>
            <w:r>
              <w:rPr>
                <w:color w:val="0000FF"/>
                <w:kern w:val="0"/>
              </w:rPr>
              <w:t>产生的一般固体废物处置执行《一般工业固体废物贮存和填埋污染控制标准》（GB18599-2020）相关规定要求；</w:t>
            </w:r>
          </w:p>
          <w:p>
            <w:pPr>
              <w:pStyle w:val="13"/>
              <w:spacing w:line="360" w:lineRule="auto"/>
              <w:ind w:firstLine="480" w:firstLineChars="200"/>
              <w:rPr>
                <w:color w:val="0000FF"/>
                <w:kern w:val="0"/>
              </w:rPr>
            </w:pPr>
            <w:r>
              <w:rPr>
                <w:color w:val="0000FF"/>
                <w:kern w:val="0"/>
              </w:rPr>
              <w:t>（2）</w:t>
            </w:r>
            <w:r>
              <w:rPr>
                <w:rFonts w:hint="eastAsia"/>
                <w:color w:val="0000FF"/>
                <w:kern w:val="0"/>
              </w:rPr>
              <w:t>项目后续整改期间</w:t>
            </w:r>
            <w:r>
              <w:rPr>
                <w:color w:val="0000FF"/>
                <w:kern w:val="0"/>
              </w:rPr>
              <w:t>危险废物临时贮存执行《危险废物贮存污染控制标准》（GB18597</w:t>
            </w:r>
            <w:r>
              <w:rPr>
                <w:rFonts w:hint="eastAsia"/>
                <w:color w:val="0000FF"/>
                <w:kern w:val="0"/>
              </w:rPr>
              <w:t>-</w:t>
            </w:r>
            <w:r>
              <w:rPr>
                <w:color w:val="0000FF"/>
                <w:kern w:val="0"/>
              </w:rPr>
              <w:t>2023）相关规定要求。</w:t>
            </w:r>
          </w:p>
          <w:p>
            <w:pPr>
              <w:spacing w:line="360" w:lineRule="auto"/>
              <w:rPr>
                <w:rFonts w:ascii="黑体" w:hAnsi="黑体" w:eastAsia="黑体"/>
                <w:b/>
                <w:bCs/>
                <w:color w:val="0000FF"/>
                <w:kern w:val="0"/>
                <w:sz w:val="24"/>
              </w:rPr>
            </w:pPr>
            <w:r>
              <w:rPr>
                <w:rFonts w:hint="eastAsia" w:ascii="黑体" w:hAnsi="黑体" w:eastAsia="黑体"/>
                <w:b/>
                <w:bCs/>
                <w:color w:val="0000FF"/>
                <w:kern w:val="0"/>
                <w:sz w:val="24"/>
              </w:rPr>
              <w:t>（七）运行期污染物排放控制标准</w:t>
            </w:r>
          </w:p>
          <w:p>
            <w:pPr>
              <w:pStyle w:val="13"/>
              <w:spacing w:line="360" w:lineRule="auto"/>
              <w:ind w:firstLine="0"/>
              <w:rPr>
                <w:b/>
                <w:bCs/>
                <w:color w:val="0000FF"/>
                <w:kern w:val="0"/>
              </w:rPr>
            </w:pPr>
            <w:r>
              <w:rPr>
                <w:rFonts w:hint="eastAsia"/>
                <w:b/>
                <w:bCs/>
                <w:color w:val="0000FF"/>
                <w:kern w:val="0"/>
              </w:rPr>
              <w:t>1、大气污染物排放标准</w:t>
            </w:r>
          </w:p>
          <w:p>
            <w:pPr>
              <w:pStyle w:val="13"/>
              <w:spacing w:line="360" w:lineRule="auto"/>
              <w:ind w:firstLine="481" w:firstLineChars="200"/>
              <w:rPr>
                <w:b/>
                <w:color w:val="0000FF"/>
                <w:kern w:val="0"/>
              </w:rPr>
            </w:pPr>
            <w:bookmarkStart w:id="46" w:name="_Hlk146189208"/>
            <w:r>
              <w:rPr>
                <w:rFonts w:hint="eastAsia"/>
                <w:b/>
                <w:color w:val="0000FF"/>
                <w:kern w:val="0"/>
              </w:rPr>
              <w:t>（1）有组织</w:t>
            </w:r>
          </w:p>
          <w:p>
            <w:pPr>
              <w:pStyle w:val="13"/>
              <w:spacing w:line="360" w:lineRule="auto"/>
              <w:ind w:firstLine="480" w:firstLineChars="200"/>
              <w:rPr>
                <w:color w:val="0000FF"/>
                <w:kern w:val="0"/>
              </w:rPr>
            </w:pPr>
            <w:r>
              <w:rPr>
                <w:rFonts w:hint="eastAsia"/>
                <w:color w:val="0000FF"/>
                <w:kern w:val="0"/>
              </w:rPr>
              <w:t>项目运营期破碎筛分粉尘经布袋除尘器收集处理后通过1根1</w:t>
            </w:r>
            <w:r>
              <w:rPr>
                <w:color w:val="0000FF"/>
                <w:kern w:val="0"/>
              </w:rPr>
              <w:t>5</w:t>
            </w:r>
            <w:r>
              <w:rPr>
                <w:rFonts w:hint="eastAsia"/>
                <w:color w:val="0000FF"/>
                <w:kern w:val="0"/>
              </w:rPr>
              <w:t>m高排气筒（DA</w:t>
            </w:r>
            <w:r>
              <w:rPr>
                <w:color w:val="0000FF"/>
                <w:kern w:val="0"/>
              </w:rPr>
              <w:t>001</w:t>
            </w:r>
            <w:r>
              <w:rPr>
                <w:rFonts w:hint="eastAsia"/>
                <w:color w:val="0000FF"/>
                <w:kern w:val="0"/>
              </w:rPr>
              <w:t>）进行有组织排放，排气筒DA</w:t>
            </w:r>
            <w:r>
              <w:rPr>
                <w:color w:val="0000FF"/>
                <w:kern w:val="0"/>
              </w:rPr>
              <w:t>001</w:t>
            </w:r>
            <w:r>
              <w:rPr>
                <w:rFonts w:hint="eastAsia"/>
                <w:color w:val="0000FF"/>
                <w:kern w:val="0"/>
              </w:rPr>
              <w:t>有组织排放粉尘执行《大气污染物综合排放标准》（GB 16297-1996）表2中1</w:t>
            </w:r>
            <w:r>
              <w:rPr>
                <w:color w:val="0000FF"/>
                <w:kern w:val="0"/>
              </w:rPr>
              <w:t>5</w:t>
            </w:r>
            <w:r>
              <w:rPr>
                <w:rFonts w:hint="eastAsia"/>
                <w:color w:val="0000FF"/>
                <w:kern w:val="0"/>
              </w:rPr>
              <w:t>m高排气筒二级限值要求，排放限值具体如下：</w:t>
            </w:r>
          </w:p>
          <w:p>
            <w:pPr>
              <w:pStyle w:val="13"/>
              <w:spacing w:line="240" w:lineRule="auto"/>
              <w:ind w:firstLine="0"/>
              <w:jc w:val="center"/>
              <w:rPr>
                <w:b/>
                <w:bCs/>
                <w:color w:val="0000FF"/>
                <w:kern w:val="0"/>
              </w:rPr>
            </w:pPr>
            <w:r>
              <w:rPr>
                <w:rFonts w:hint="eastAsia"/>
                <w:b/>
                <w:bCs/>
                <w:color w:val="0000FF"/>
                <w:kern w:val="0"/>
              </w:rPr>
              <w:t>表3</w:t>
            </w:r>
            <w:r>
              <w:rPr>
                <w:b/>
                <w:bCs/>
                <w:color w:val="0000FF"/>
                <w:kern w:val="0"/>
              </w:rPr>
              <w:t xml:space="preserve">.7-1  </w:t>
            </w:r>
            <w:r>
              <w:rPr>
                <w:rFonts w:hint="eastAsia"/>
                <w:b/>
                <w:bCs/>
                <w:color w:val="0000FF"/>
                <w:kern w:val="0"/>
              </w:rPr>
              <w:t>排气筒DA</w:t>
            </w:r>
            <w:r>
              <w:rPr>
                <w:b/>
                <w:bCs/>
                <w:color w:val="0000FF"/>
                <w:kern w:val="0"/>
              </w:rPr>
              <w:t>001</w:t>
            </w:r>
            <w:r>
              <w:rPr>
                <w:rFonts w:hint="eastAsia"/>
                <w:b/>
                <w:bCs/>
                <w:color w:val="0000FF"/>
                <w:kern w:val="0"/>
              </w:rPr>
              <w:t>大气污染物排放标准限值</w:t>
            </w:r>
          </w:p>
          <w:tbl>
            <w:tblPr>
              <w:tblStyle w:val="3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77"/>
              <w:gridCol w:w="3540"/>
              <w:gridCol w:w="2414"/>
              <w:gridCol w:w="10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1" w:type="pct"/>
                  <w:vMerge w:val="restart"/>
                  <w:vAlign w:val="center"/>
                </w:tcPr>
                <w:p>
                  <w:pPr>
                    <w:pStyle w:val="13"/>
                    <w:spacing w:line="240" w:lineRule="auto"/>
                    <w:ind w:firstLine="0"/>
                    <w:jc w:val="center"/>
                    <w:rPr>
                      <w:b/>
                      <w:color w:val="0000FF"/>
                      <w:kern w:val="0"/>
                      <w:sz w:val="21"/>
                      <w:szCs w:val="21"/>
                    </w:rPr>
                  </w:pPr>
                  <w:r>
                    <w:rPr>
                      <w:rFonts w:hint="eastAsia"/>
                      <w:b/>
                      <w:color w:val="0000FF"/>
                      <w:kern w:val="0"/>
                      <w:sz w:val="21"/>
                      <w:szCs w:val="21"/>
                    </w:rPr>
                    <w:t>污染物</w:t>
                  </w:r>
                </w:p>
              </w:tc>
              <w:tc>
                <w:tcPr>
                  <w:tcW w:w="2167" w:type="pct"/>
                  <w:vMerge w:val="restart"/>
                  <w:vAlign w:val="center"/>
                </w:tcPr>
                <w:p>
                  <w:pPr>
                    <w:pStyle w:val="13"/>
                    <w:spacing w:line="240" w:lineRule="auto"/>
                    <w:ind w:firstLine="0"/>
                    <w:jc w:val="center"/>
                    <w:rPr>
                      <w:b/>
                      <w:color w:val="0000FF"/>
                      <w:kern w:val="0"/>
                      <w:sz w:val="21"/>
                      <w:szCs w:val="21"/>
                    </w:rPr>
                  </w:pPr>
                  <w:r>
                    <w:rPr>
                      <w:rFonts w:hint="eastAsia"/>
                      <w:b/>
                      <w:color w:val="0000FF"/>
                      <w:kern w:val="0"/>
                      <w:sz w:val="21"/>
                      <w:szCs w:val="21"/>
                    </w:rPr>
                    <w:t>最高允许排放浓度mg</w:t>
                  </w:r>
                  <w:r>
                    <w:rPr>
                      <w:b/>
                      <w:color w:val="0000FF"/>
                      <w:kern w:val="0"/>
                      <w:sz w:val="21"/>
                      <w:szCs w:val="21"/>
                    </w:rPr>
                    <w:t>/</w:t>
                  </w:r>
                  <w:r>
                    <w:rPr>
                      <w:rFonts w:hint="eastAsia"/>
                      <w:b/>
                      <w:color w:val="0000FF"/>
                      <w:kern w:val="0"/>
                      <w:sz w:val="21"/>
                      <w:szCs w:val="21"/>
                    </w:rPr>
                    <w:t>m³</w:t>
                  </w:r>
                </w:p>
              </w:tc>
              <w:tc>
                <w:tcPr>
                  <w:tcW w:w="2112" w:type="pct"/>
                  <w:gridSpan w:val="2"/>
                  <w:vAlign w:val="center"/>
                </w:tcPr>
                <w:p>
                  <w:pPr>
                    <w:pStyle w:val="13"/>
                    <w:spacing w:line="240" w:lineRule="auto"/>
                    <w:ind w:firstLine="0"/>
                    <w:jc w:val="center"/>
                    <w:rPr>
                      <w:b/>
                      <w:color w:val="0000FF"/>
                      <w:kern w:val="0"/>
                      <w:sz w:val="21"/>
                      <w:szCs w:val="21"/>
                    </w:rPr>
                  </w:pPr>
                  <w:r>
                    <w:rPr>
                      <w:rFonts w:hint="eastAsia"/>
                      <w:b/>
                      <w:color w:val="0000FF"/>
                      <w:kern w:val="0"/>
                      <w:sz w:val="21"/>
                      <w:szCs w:val="21"/>
                    </w:rPr>
                    <w:t>最高允许排放速率，kg</w:t>
                  </w:r>
                  <w:r>
                    <w:rPr>
                      <w:b/>
                      <w:color w:val="0000FF"/>
                      <w:kern w:val="0"/>
                      <w:sz w:val="21"/>
                      <w:szCs w:val="21"/>
                    </w:rPr>
                    <w:t>/</w:t>
                  </w:r>
                  <w:r>
                    <w:rPr>
                      <w:rFonts w:hint="eastAsia"/>
                      <w:b/>
                      <w:color w:val="0000FF"/>
                      <w:kern w:val="0"/>
                      <w:sz w:val="21"/>
                      <w:szCs w:val="21"/>
                    </w:rPr>
                    <w:t>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1" w:type="pct"/>
                  <w:vMerge w:val="continue"/>
                  <w:vAlign w:val="center"/>
                </w:tcPr>
                <w:p>
                  <w:pPr>
                    <w:pStyle w:val="13"/>
                    <w:spacing w:line="240" w:lineRule="auto"/>
                    <w:ind w:firstLine="0"/>
                    <w:jc w:val="center"/>
                    <w:rPr>
                      <w:b/>
                      <w:color w:val="0000FF"/>
                      <w:kern w:val="0"/>
                      <w:sz w:val="21"/>
                      <w:szCs w:val="21"/>
                    </w:rPr>
                  </w:pPr>
                </w:p>
              </w:tc>
              <w:tc>
                <w:tcPr>
                  <w:tcW w:w="2167" w:type="pct"/>
                  <w:vMerge w:val="continue"/>
                  <w:vAlign w:val="center"/>
                </w:tcPr>
                <w:p>
                  <w:pPr>
                    <w:pStyle w:val="13"/>
                    <w:spacing w:line="240" w:lineRule="auto"/>
                    <w:ind w:firstLine="0"/>
                    <w:jc w:val="center"/>
                    <w:rPr>
                      <w:b/>
                      <w:color w:val="0000FF"/>
                      <w:kern w:val="0"/>
                      <w:sz w:val="21"/>
                      <w:szCs w:val="21"/>
                    </w:rPr>
                  </w:pPr>
                </w:p>
              </w:tc>
              <w:tc>
                <w:tcPr>
                  <w:tcW w:w="1478" w:type="pct"/>
                  <w:vAlign w:val="center"/>
                </w:tcPr>
                <w:p>
                  <w:pPr>
                    <w:pStyle w:val="13"/>
                    <w:spacing w:line="240" w:lineRule="auto"/>
                    <w:ind w:firstLine="0"/>
                    <w:jc w:val="center"/>
                    <w:rPr>
                      <w:b/>
                      <w:color w:val="0000FF"/>
                      <w:kern w:val="0"/>
                      <w:sz w:val="21"/>
                      <w:szCs w:val="21"/>
                    </w:rPr>
                  </w:pPr>
                  <w:r>
                    <w:rPr>
                      <w:rFonts w:hint="eastAsia"/>
                      <w:b/>
                      <w:color w:val="0000FF"/>
                      <w:kern w:val="0"/>
                      <w:sz w:val="21"/>
                      <w:szCs w:val="21"/>
                    </w:rPr>
                    <w:t>排气筒高度m</w:t>
                  </w:r>
                </w:p>
              </w:tc>
              <w:tc>
                <w:tcPr>
                  <w:tcW w:w="635" w:type="pct"/>
                  <w:vAlign w:val="center"/>
                </w:tcPr>
                <w:p>
                  <w:pPr>
                    <w:pStyle w:val="13"/>
                    <w:spacing w:line="240" w:lineRule="auto"/>
                    <w:ind w:firstLine="0"/>
                    <w:jc w:val="center"/>
                    <w:rPr>
                      <w:b/>
                      <w:color w:val="0000FF"/>
                      <w:kern w:val="0"/>
                      <w:sz w:val="21"/>
                      <w:szCs w:val="21"/>
                    </w:rPr>
                  </w:pPr>
                  <w:r>
                    <w:rPr>
                      <w:rFonts w:hint="eastAsia"/>
                      <w:b/>
                      <w:color w:val="0000FF"/>
                      <w:kern w:val="0"/>
                      <w:sz w:val="21"/>
                      <w:szCs w:val="21"/>
                    </w:rPr>
                    <w:t>二级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1" w:type="pct"/>
                  <w:vAlign w:val="center"/>
                </w:tcPr>
                <w:p>
                  <w:pPr>
                    <w:pStyle w:val="13"/>
                    <w:spacing w:line="240" w:lineRule="auto"/>
                    <w:ind w:firstLine="0"/>
                    <w:jc w:val="center"/>
                    <w:rPr>
                      <w:color w:val="0000FF"/>
                      <w:kern w:val="0"/>
                      <w:sz w:val="21"/>
                      <w:szCs w:val="21"/>
                    </w:rPr>
                  </w:pPr>
                  <w:r>
                    <w:rPr>
                      <w:rFonts w:hint="eastAsia"/>
                      <w:color w:val="0000FF"/>
                      <w:kern w:val="0"/>
                      <w:sz w:val="21"/>
                      <w:szCs w:val="21"/>
                    </w:rPr>
                    <w:t>颗粒物</w:t>
                  </w:r>
                </w:p>
              </w:tc>
              <w:tc>
                <w:tcPr>
                  <w:tcW w:w="2167" w:type="pct"/>
                  <w:vAlign w:val="center"/>
                </w:tcPr>
                <w:p>
                  <w:pPr>
                    <w:pStyle w:val="13"/>
                    <w:spacing w:line="240" w:lineRule="auto"/>
                    <w:ind w:firstLine="0"/>
                    <w:jc w:val="center"/>
                    <w:rPr>
                      <w:color w:val="0000FF"/>
                      <w:kern w:val="0"/>
                      <w:sz w:val="21"/>
                      <w:szCs w:val="21"/>
                    </w:rPr>
                  </w:pPr>
                  <w:r>
                    <w:rPr>
                      <w:color w:val="0000FF"/>
                      <w:kern w:val="0"/>
                      <w:sz w:val="21"/>
                      <w:szCs w:val="21"/>
                    </w:rPr>
                    <w:t>1</w:t>
                  </w:r>
                  <w:r>
                    <w:rPr>
                      <w:rFonts w:hint="eastAsia"/>
                      <w:color w:val="0000FF"/>
                      <w:kern w:val="0"/>
                      <w:sz w:val="21"/>
                      <w:szCs w:val="21"/>
                    </w:rPr>
                    <w:t>2</w:t>
                  </w:r>
                  <w:r>
                    <w:rPr>
                      <w:color w:val="0000FF"/>
                      <w:kern w:val="0"/>
                      <w:sz w:val="21"/>
                      <w:szCs w:val="21"/>
                    </w:rPr>
                    <w:t>0</w:t>
                  </w:r>
                  <w:r>
                    <w:rPr>
                      <w:rFonts w:hint="eastAsia"/>
                      <w:color w:val="0000FF"/>
                      <w:kern w:val="0"/>
                      <w:sz w:val="21"/>
                      <w:szCs w:val="21"/>
                    </w:rPr>
                    <w:t>（其他）</w:t>
                  </w:r>
                </w:p>
              </w:tc>
              <w:tc>
                <w:tcPr>
                  <w:tcW w:w="1478" w:type="pct"/>
                  <w:vAlign w:val="center"/>
                </w:tcPr>
                <w:p>
                  <w:pPr>
                    <w:pStyle w:val="13"/>
                    <w:spacing w:line="240" w:lineRule="auto"/>
                    <w:ind w:firstLine="0"/>
                    <w:jc w:val="center"/>
                    <w:rPr>
                      <w:color w:val="0000FF"/>
                      <w:kern w:val="0"/>
                      <w:sz w:val="21"/>
                      <w:szCs w:val="21"/>
                    </w:rPr>
                  </w:pPr>
                  <w:r>
                    <w:rPr>
                      <w:rFonts w:hint="eastAsia"/>
                      <w:color w:val="0000FF"/>
                      <w:kern w:val="0"/>
                      <w:sz w:val="21"/>
                      <w:szCs w:val="21"/>
                    </w:rPr>
                    <w:t>1</w:t>
                  </w:r>
                  <w:r>
                    <w:rPr>
                      <w:color w:val="0000FF"/>
                      <w:kern w:val="0"/>
                      <w:sz w:val="21"/>
                      <w:szCs w:val="21"/>
                    </w:rPr>
                    <w:t>5</w:t>
                  </w:r>
                </w:p>
              </w:tc>
              <w:tc>
                <w:tcPr>
                  <w:tcW w:w="635" w:type="pct"/>
                  <w:vAlign w:val="center"/>
                </w:tcPr>
                <w:p>
                  <w:pPr>
                    <w:pStyle w:val="13"/>
                    <w:spacing w:line="240" w:lineRule="auto"/>
                    <w:ind w:firstLine="0"/>
                    <w:jc w:val="center"/>
                    <w:rPr>
                      <w:color w:val="0000FF"/>
                      <w:kern w:val="0"/>
                      <w:sz w:val="21"/>
                      <w:szCs w:val="21"/>
                    </w:rPr>
                  </w:pPr>
                  <w:r>
                    <w:rPr>
                      <w:rFonts w:hint="eastAsia"/>
                      <w:color w:val="0000FF"/>
                      <w:kern w:val="0"/>
                      <w:sz w:val="21"/>
                      <w:szCs w:val="21"/>
                    </w:rPr>
                    <w:t>3</w:t>
                  </w:r>
                  <w:r>
                    <w:rPr>
                      <w:color w:val="0000FF"/>
                      <w:kern w:val="0"/>
                      <w:sz w:val="21"/>
                      <w:szCs w:val="21"/>
                    </w:rPr>
                    <w:t>.5</w:t>
                  </w:r>
                </w:p>
              </w:tc>
            </w:tr>
          </w:tbl>
          <w:p>
            <w:pPr>
              <w:pStyle w:val="13"/>
              <w:spacing w:line="360" w:lineRule="auto"/>
              <w:ind w:firstLine="421" w:firstLineChars="200"/>
              <w:rPr>
                <w:b/>
                <w:color w:val="0000FF"/>
                <w:kern w:val="0"/>
                <w:sz w:val="21"/>
                <w:szCs w:val="21"/>
              </w:rPr>
            </w:pPr>
            <w:r>
              <w:rPr>
                <w:rFonts w:hint="eastAsia"/>
                <w:b/>
                <w:color w:val="0000FF"/>
                <w:kern w:val="0"/>
                <w:sz w:val="21"/>
                <w:szCs w:val="21"/>
              </w:rPr>
              <w:t>（2）无组织</w:t>
            </w:r>
          </w:p>
          <w:p>
            <w:pPr>
              <w:pStyle w:val="13"/>
              <w:spacing w:line="360" w:lineRule="auto"/>
              <w:ind w:firstLine="480" w:firstLineChars="200"/>
              <w:rPr>
                <w:color w:val="0000FF"/>
                <w:kern w:val="0"/>
              </w:rPr>
            </w:pPr>
            <w:r>
              <w:rPr>
                <w:rFonts w:hint="eastAsia"/>
                <w:color w:val="0000FF"/>
                <w:kern w:val="0"/>
              </w:rPr>
              <w:t>项目运营期厂界颗粒物（TSP）无组织排放执行《大气污染物综合排放标准》（GB 16297-1996）表2中无组织排放监控浓度限值要求，标准限值如下：</w:t>
            </w:r>
          </w:p>
          <w:p>
            <w:pPr>
              <w:pStyle w:val="13"/>
              <w:spacing w:line="240" w:lineRule="auto"/>
              <w:ind w:firstLine="0"/>
              <w:jc w:val="center"/>
              <w:rPr>
                <w:b/>
                <w:bCs/>
                <w:color w:val="0000FF"/>
                <w:kern w:val="0"/>
              </w:rPr>
            </w:pPr>
            <w:r>
              <w:rPr>
                <w:rFonts w:hint="eastAsia"/>
                <w:b/>
                <w:bCs/>
                <w:color w:val="0000FF"/>
                <w:kern w:val="0"/>
              </w:rPr>
              <w:t>表3</w:t>
            </w:r>
            <w:r>
              <w:rPr>
                <w:b/>
                <w:bCs/>
                <w:color w:val="0000FF"/>
                <w:kern w:val="0"/>
              </w:rPr>
              <w:t xml:space="preserve">.7-2  </w:t>
            </w:r>
            <w:r>
              <w:rPr>
                <w:rFonts w:hint="eastAsia"/>
                <w:b/>
                <w:bCs/>
                <w:color w:val="0000FF"/>
                <w:kern w:val="0"/>
              </w:rPr>
              <w:t>厂界颗粒物无组织排放标准限值</w:t>
            </w:r>
          </w:p>
          <w:tbl>
            <w:tblPr>
              <w:tblStyle w:val="3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3886"/>
              <w:gridCol w:w="2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061" w:type="pct"/>
                  <w:vMerge w:val="restart"/>
                  <w:vAlign w:val="center"/>
                </w:tcPr>
                <w:p>
                  <w:pPr>
                    <w:widowControl/>
                    <w:jc w:val="center"/>
                    <w:rPr>
                      <w:b/>
                      <w:bCs/>
                      <w:color w:val="0000FF"/>
                      <w:kern w:val="0"/>
                      <w:szCs w:val="21"/>
                    </w:rPr>
                  </w:pPr>
                  <w:r>
                    <w:rPr>
                      <w:b/>
                      <w:bCs/>
                      <w:color w:val="0000FF"/>
                      <w:kern w:val="0"/>
                      <w:szCs w:val="21"/>
                    </w:rPr>
                    <w:t>污染物</w:t>
                  </w:r>
                </w:p>
              </w:tc>
              <w:tc>
                <w:tcPr>
                  <w:tcW w:w="3938" w:type="pct"/>
                  <w:gridSpan w:val="2"/>
                  <w:vAlign w:val="center"/>
                </w:tcPr>
                <w:p>
                  <w:pPr>
                    <w:widowControl/>
                    <w:jc w:val="center"/>
                    <w:rPr>
                      <w:b/>
                      <w:bCs/>
                      <w:color w:val="0000FF"/>
                      <w:kern w:val="0"/>
                      <w:szCs w:val="21"/>
                    </w:rPr>
                  </w:pPr>
                  <w:r>
                    <w:rPr>
                      <w:b/>
                      <w:bCs/>
                      <w:color w:val="0000FF"/>
                      <w:kern w:val="0"/>
                      <w:szCs w:val="21"/>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061" w:type="pct"/>
                  <w:vMerge w:val="continue"/>
                  <w:vAlign w:val="center"/>
                </w:tcPr>
                <w:p>
                  <w:pPr>
                    <w:widowControl/>
                    <w:jc w:val="center"/>
                    <w:rPr>
                      <w:b/>
                      <w:bCs/>
                      <w:color w:val="0000FF"/>
                      <w:kern w:val="0"/>
                      <w:szCs w:val="21"/>
                    </w:rPr>
                  </w:pPr>
                </w:p>
              </w:tc>
              <w:tc>
                <w:tcPr>
                  <w:tcW w:w="2379" w:type="pct"/>
                  <w:vAlign w:val="center"/>
                </w:tcPr>
                <w:p>
                  <w:pPr>
                    <w:widowControl/>
                    <w:jc w:val="center"/>
                    <w:rPr>
                      <w:b/>
                      <w:bCs/>
                      <w:color w:val="0000FF"/>
                      <w:kern w:val="0"/>
                      <w:szCs w:val="21"/>
                    </w:rPr>
                  </w:pPr>
                  <w:r>
                    <w:rPr>
                      <w:b/>
                      <w:bCs/>
                      <w:color w:val="0000FF"/>
                      <w:kern w:val="0"/>
                      <w:szCs w:val="21"/>
                    </w:rPr>
                    <w:t>监控点</w:t>
                  </w:r>
                </w:p>
              </w:tc>
              <w:tc>
                <w:tcPr>
                  <w:tcW w:w="1559" w:type="pct"/>
                  <w:vAlign w:val="center"/>
                </w:tcPr>
                <w:p>
                  <w:pPr>
                    <w:widowControl/>
                    <w:jc w:val="center"/>
                    <w:rPr>
                      <w:b/>
                      <w:bCs/>
                      <w:color w:val="0000FF"/>
                      <w:kern w:val="0"/>
                      <w:szCs w:val="21"/>
                    </w:rPr>
                  </w:pPr>
                  <w:r>
                    <w:rPr>
                      <w:b/>
                      <w:bCs/>
                      <w:color w:val="0000FF"/>
                      <w:kern w:val="0"/>
                      <w:szCs w:val="21"/>
                    </w:rPr>
                    <w:t>浓度mg/m³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061" w:type="pct"/>
                  <w:vAlign w:val="center"/>
                </w:tcPr>
                <w:p>
                  <w:pPr>
                    <w:widowControl/>
                    <w:jc w:val="center"/>
                    <w:rPr>
                      <w:color w:val="0000FF"/>
                      <w:kern w:val="0"/>
                      <w:szCs w:val="21"/>
                    </w:rPr>
                  </w:pPr>
                  <w:r>
                    <w:rPr>
                      <w:color w:val="0000FF"/>
                      <w:kern w:val="0"/>
                      <w:szCs w:val="21"/>
                    </w:rPr>
                    <w:t>颗粒物</w:t>
                  </w:r>
                </w:p>
              </w:tc>
              <w:tc>
                <w:tcPr>
                  <w:tcW w:w="2379" w:type="pct"/>
                  <w:vAlign w:val="center"/>
                </w:tcPr>
                <w:p>
                  <w:pPr>
                    <w:widowControl/>
                    <w:jc w:val="center"/>
                    <w:rPr>
                      <w:color w:val="0000FF"/>
                      <w:kern w:val="0"/>
                      <w:szCs w:val="21"/>
                    </w:rPr>
                  </w:pPr>
                  <w:r>
                    <w:rPr>
                      <w:color w:val="0000FF"/>
                      <w:kern w:val="0"/>
                      <w:szCs w:val="21"/>
                    </w:rPr>
                    <w:t>周围外浓度最高点</w:t>
                  </w:r>
                </w:p>
              </w:tc>
              <w:tc>
                <w:tcPr>
                  <w:tcW w:w="1559" w:type="pct"/>
                  <w:vAlign w:val="center"/>
                </w:tcPr>
                <w:p>
                  <w:pPr>
                    <w:widowControl/>
                    <w:jc w:val="center"/>
                    <w:rPr>
                      <w:color w:val="0000FF"/>
                      <w:kern w:val="0"/>
                      <w:szCs w:val="21"/>
                    </w:rPr>
                  </w:pPr>
                  <w:r>
                    <w:rPr>
                      <w:color w:val="0000FF"/>
                      <w:kern w:val="0"/>
                      <w:szCs w:val="21"/>
                    </w:rPr>
                    <w:t>1.0</w:t>
                  </w:r>
                </w:p>
              </w:tc>
            </w:tr>
            <w:bookmarkEnd w:id="46"/>
          </w:tbl>
          <w:p>
            <w:pPr>
              <w:pStyle w:val="13"/>
              <w:spacing w:line="360" w:lineRule="auto"/>
              <w:ind w:firstLine="0"/>
              <w:jc w:val="left"/>
              <w:rPr>
                <w:b/>
                <w:bCs/>
                <w:color w:val="0000FF"/>
                <w:kern w:val="0"/>
              </w:rPr>
            </w:pPr>
            <w:r>
              <w:rPr>
                <w:rFonts w:hint="eastAsia"/>
                <w:b/>
                <w:bCs/>
                <w:color w:val="0000FF"/>
                <w:kern w:val="0"/>
              </w:rPr>
              <w:t>2、水污染物排放标准</w:t>
            </w:r>
          </w:p>
          <w:p>
            <w:pPr>
              <w:spacing w:line="360" w:lineRule="auto"/>
              <w:ind w:firstLine="480" w:firstLineChars="200"/>
              <w:jc w:val="left"/>
              <w:rPr>
                <w:color w:val="0000FF"/>
                <w:kern w:val="0"/>
                <w:sz w:val="24"/>
              </w:rPr>
            </w:pPr>
            <w:r>
              <w:rPr>
                <w:rFonts w:hint="eastAsia"/>
                <w:color w:val="0000FF"/>
                <w:kern w:val="0"/>
                <w:sz w:val="24"/>
              </w:rPr>
              <w:t>项目运营期洗砂废水、车辆冲洗废水经三级沉淀池收集沉淀处理后于清水池内暂存，再次作为洗砂用水回用，不外排；初期雨水经初期雨水收集池收集沉淀处理后作为洗砂用水回用，不外排；生活污水经化粪池收集沉淀处理后收集于清水池内，回用于洗砂生产线，不外排。综上，项目运营期不设水污染物排放标准。</w:t>
            </w:r>
          </w:p>
          <w:p>
            <w:pPr>
              <w:pStyle w:val="13"/>
              <w:spacing w:line="360" w:lineRule="auto"/>
              <w:ind w:firstLine="0"/>
              <w:jc w:val="left"/>
              <w:rPr>
                <w:b/>
                <w:bCs/>
                <w:kern w:val="0"/>
              </w:rPr>
            </w:pPr>
            <w:r>
              <w:rPr>
                <w:rFonts w:hint="eastAsia"/>
                <w:b/>
                <w:bCs/>
                <w:kern w:val="0"/>
              </w:rPr>
              <w:t>3、噪声排放标准</w:t>
            </w:r>
          </w:p>
          <w:p>
            <w:pPr>
              <w:spacing w:line="360" w:lineRule="auto"/>
              <w:ind w:firstLine="480" w:firstLineChars="200"/>
              <w:rPr>
                <w:sz w:val="24"/>
              </w:rPr>
            </w:pPr>
            <w:r>
              <w:rPr>
                <w:rFonts w:hint="eastAsia"/>
                <w:sz w:val="24"/>
              </w:rPr>
              <w:t>项目运营期厂界噪声排放执行</w:t>
            </w:r>
            <w:r>
              <w:rPr>
                <w:sz w:val="24"/>
              </w:rPr>
              <w:t>《工业企业场界环境噪声排放标准》</w:t>
            </w:r>
            <w:r>
              <w:rPr>
                <w:rFonts w:hint="eastAsia"/>
                <w:sz w:val="24"/>
              </w:rPr>
              <w:t>（</w:t>
            </w:r>
            <w:r>
              <w:rPr>
                <w:sz w:val="24"/>
              </w:rPr>
              <w:t>GB 12348-2008</w:t>
            </w:r>
            <w:r>
              <w:rPr>
                <w:rFonts w:hint="eastAsia"/>
                <w:sz w:val="24"/>
              </w:rPr>
              <w:t>）</w:t>
            </w:r>
            <w:r>
              <w:rPr>
                <w:sz w:val="24"/>
              </w:rPr>
              <w:t>2类功能区限值要求</w:t>
            </w:r>
            <w:r>
              <w:rPr>
                <w:rFonts w:hint="eastAsia"/>
                <w:sz w:val="24"/>
              </w:rPr>
              <w:t>，标准限值如下：</w:t>
            </w:r>
          </w:p>
          <w:p>
            <w:pPr>
              <w:jc w:val="center"/>
              <w:rPr>
                <w:b/>
                <w:bCs/>
                <w:sz w:val="24"/>
              </w:rPr>
            </w:pPr>
            <w:r>
              <w:rPr>
                <w:rFonts w:hint="eastAsia"/>
                <w:b/>
                <w:bCs/>
                <w:sz w:val="24"/>
              </w:rPr>
              <w:t>表</w:t>
            </w:r>
            <w:r>
              <w:rPr>
                <w:b/>
                <w:bCs/>
                <w:sz w:val="24"/>
              </w:rPr>
              <w:t>3.7-3</w:t>
            </w:r>
            <w:r>
              <w:rPr>
                <w:rFonts w:hint="eastAsia"/>
                <w:b/>
                <w:bCs/>
                <w:sz w:val="24"/>
              </w:rPr>
              <w:t xml:space="preserve">  工业企业厂界环境噪声排放限值  单位：dB（A）</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73"/>
              <w:gridCol w:w="2795"/>
              <w:gridCol w:w="2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76" w:type="pct"/>
                  <w:vMerge w:val="restart"/>
                  <w:vAlign w:val="center"/>
                </w:tcPr>
                <w:p>
                  <w:pPr>
                    <w:jc w:val="center"/>
                    <w:rPr>
                      <w:b/>
                      <w:bCs/>
                      <w:szCs w:val="21"/>
                    </w:rPr>
                  </w:pPr>
                  <w:r>
                    <w:rPr>
                      <w:b/>
                      <w:bCs/>
                      <w:szCs w:val="21"/>
                    </w:rPr>
                    <w:t>厂界外声环境功能区类别</w:t>
                  </w:r>
                </w:p>
              </w:tc>
              <w:tc>
                <w:tcPr>
                  <w:tcW w:w="3424" w:type="pct"/>
                  <w:gridSpan w:val="2"/>
                  <w:vAlign w:val="center"/>
                </w:tcPr>
                <w:p>
                  <w:pPr>
                    <w:jc w:val="center"/>
                    <w:rPr>
                      <w:b/>
                      <w:bCs/>
                      <w:szCs w:val="21"/>
                    </w:rPr>
                  </w:pPr>
                  <w:r>
                    <w:rPr>
                      <w:b/>
                      <w:bCs/>
                      <w:szCs w:val="21"/>
                    </w:rPr>
                    <w:t>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76" w:type="pct"/>
                  <w:vMerge w:val="continue"/>
                  <w:vAlign w:val="center"/>
                </w:tcPr>
                <w:p>
                  <w:pPr>
                    <w:jc w:val="center"/>
                    <w:rPr>
                      <w:b/>
                      <w:bCs/>
                      <w:szCs w:val="21"/>
                    </w:rPr>
                  </w:pPr>
                </w:p>
              </w:tc>
              <w:tc>
                <w:tcPr>
                  <w:tcW w:w="1712" w:type="pct"/>
                  <w:vAlign w:val="center"/>
                </w:tcPr>
                <w:p>
                  <w:pPr>
                    <w:jc w:val="center"/>
                    <w:rPr>
                      <w:b/>
                      <w:bCs/>
                      <w:szCs w:val="21"/>
                    </w:rPr>
                  </w:pPr>
                  <w:r>
                    <w:rPr>
                      <w:b/>
                      <w:bCs/>
                      <w:szCs w:val="21"/>
                    </w:rPr>
                    <w:t>昼间</w:t>
                  </w:r>
                </w:p>
              </w:tc>
              <w:tc>
                <w:tcPr>
                  <w:tcW w:w="1712" w:type="pct"/>
                  <w:vAlign w:val="center"/>
                </w:tcPr>
                <w:p>
                  <w:pPr>
                    <w:jc w:val="center"/>
                    <w:rPr>
                      <w:b/>
                      <w:bCs/>
                      <w:szCs w:val="21"/>
                    </w:rPr>
                  </w:pPr>
                  <w:r>
                    <w:rPr>
                      <w:b/>
                      <w:bCs/>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76" w:type="pct"/>
                  <w:vAlign w:val="center"/>
                </w:tcPr>
                <w:p>
                  <w:pPr>
                    <w:jc w:val="center"/>
                    <w:rPr>
                      <w:szCs w:val="21"/>
                    </w:rPr>
                  </w:pPr>
                  <w:r>
                    <w:rPr>
                      <w:rFonts w:hint="eastAsia"/>
                      <w:szCs w:val="21"/>
                    </w:rPr>
                    <w:t>2</w:t>
                  </w:r>
                </w:p>
              </w:tc>
              <w:tc>
                <w:tcPr>
                  <w:tcW w:w="1712" w:type="pct"/>
                  <w:vAlign w:val="center"/>
                </w:tcPr>
                <w:p>
                  <w:pPr>
                    <w:jc w:val="center"/>
                    <w:rPr>
                      <w:szCs w:val="21"/>
                    </w:rPr>
                  </w:pPr>
                  <w:r>
                    <w:rPr>
                      <w:rFonts w:hint="eastAsia"/>
                      <w:szCs w:val="21"/>
                    </w:rPr>
                    <w:t>6</w:t>
                  </w:r>
                  <w:r>
                    <w:rPr>
                      <w:szCs w:val="21"/>
                    </w:rPr>
                    <w:t>0</w:t>
                  </w:r>
                </w:p>
              </w:tc>
              <w:tc>
                <w:tcPr>
                  <w:tcW w:w="1712" w:type="pct"/>
                  <w:vAlign w:val="center"/>
                </w:tcPr>
                <w:p>
                  <w:pPr>
                    <w:jc w:val="center"/>
                    <w:rPr>
                      <w:szCs w:val="21"/>
                    </w:rPr>
                  </w:pPr>
                  <w:r>
                    <w:rPr>
                      <w:rFonts w:hint="eastAsia"/>
                      <w:szCs w:val="21"/>
                    </w:rPr>
                    <w:t>5</w:t>
                  </w:r>
                  <w:r>
                    <w:rPr>
                      <w:szCs w:val="21"/>
                    </w:rPr>
                    <w:t>0</w:t>
                  </w:r>
                </w:p>
              </w:tc>
            </w:tr>
          </w:tbl>
          <w:p>
            <w:pPr>
              <w:pStyle w:val="13"/>
              <w:spacing w:line="360" w:lineRule="auto"/>
              <w:ind w:firstLine="0"/>
              <w:jc w:val="left"/>
              <w:rPr>
                <w:b/>
                <w:bCs/>
                <w:kern w:val="0"/>
              </w:rPr>
            </w:pPr>
            <w:r>
              <w:rPr>
                <w:rFonts w:hint="eastAsia"/>
                <w:b/>
                <w:bCs/>
                <w:kern w:val="0"/>
              </w:rPr>
              <w:t>4、固体废物排放控制标准</w:t>
            </w:r>
          </w:p>
          <w:p>
            <w:pPr>
              <w:pStyle w:val="13"/>
              <w:spacing w:line="360" w:lineRule="auto"/>
              <w:ind w:firstLine="480" w:firstLineChars="200"/>
              <w:rPr>
                <w:kern w:val="0"/>
              </w:rPr>
            </w:pPr>
            <w:r>
              <w:rPr>
                <w:kern w:val="0"/>
              </w:rPr>
              <w:t>（1）</w:t>
            </w:r>
            <w:r>
              <w:rPr>
                <w:rFonts w:hint="eastAsia"/>
                <w:kern w:val="0"/>
              </w:rPr>
              <w:t>项目运营期</w:t>
            </w:r>
            <w:r>
              <w:rPr>
                <w:kern w:val="0"/>
              </w:rPr>
              <w:t>产生的一般固体废物处置执行《一般工业固体废物贮存和填埋污染控制标准》（GB18599-2020）相关规定要求；</w:t>
            </w:r>
          </w:p>
          <w:p>
            <w:pPr>
              <w:pStyle w:val="13"/>
              <w:spacing w:line="360" w:lineRule="auto"/>
              <w:ind w:firstLine="480" w:firstLineChars="200"/>
              <w:rPr>
                <w:kern w:val="0"/>
              </w:rPr>
            </w:pPr>
            <w:r>
              <w:rPr>
                <w:kern w:val="0"/>
              </w:rPr>
              <w:t>（2）</w:t>
            </w:r>
            <w:r>
              <w:rPr>
                <w:rFonts w:hint="eastAsia"/>
                <w:kern w:val="0"/>
              </w:rPr>
              <w:t>项目运营期产生的</w:t>
            </w:r>
            <w:r>
              <w:rPr>
                <w:kern w:val="0"/>
              </w:rPr>
              <w:t>危险废物临时贮存执行《危险废物贮存污染控制标准》（GB18597</w:t>
            </w:r>
            <w:r>
              <w:rPr>
                <w:rFonts w:hint="eastAsia"/>
                <w:kern w:val="0"/>
              </w:rPr>
              <w:t>-</w:t>
            </w:r>
            <w:r>
              <w:rPr>
                <w:kern w:val="0"/>
              </w:rPr>
              <w:t>2023）相关规定要求。</w:t>
            </w:r>
            <w:bookmarkEnd w:id="45"/>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2" w:type="dxa"/>
            <w:vAlign w:val="center"/>
          </w:tcPr>
          <w:p>
            <w:pPr>
              <w:adjustRightInd w:val="0"/>
              <w:snapToGrid w:val="0"/>
              <w:jc w:val="center"/>
              <w:rPr>
                <w:b/>
                <w:bCs/>
                <w:kern w:val="0"/>
                <w:sz w:val="24"/>
              </w:rPr>
            </w:pPr>
            <w:r>
              <w:rPr>
                <w:b/>
                <w:bCs/>
                <w:kern w:val="0"/>
                <w:sz w:val="24"/>
              </w:rPr>
              <w:t>总量控制指标</w:t>
            </w:r>
          </w:p>
        </w:tc>
        <w:tc>
          <w:tcPr>
            <w:tcW w:w="8393" w:type="dxa"/>
            <w:vAlign w:val="center"/>
          </w:tcPr>
          <w:p>
            <w:pPr>
              <w:spacing w:line="360" w:lineRule="auto"/>
              <w:ind w:firstLine="480" w:firstLineChars="200"/>
              <w:rPr>
                <w:sz w:val="24"/>
              </w:rPr>
            </w:pPr>
            <w:r>
              <w:rPr>
                <w:rFonts w:hint="eastAsia"/>
                <w:sz w:val="24"/>
              </w:rPr>
              <w:t>按照污染物“达标排放”的原则，根据《国务院关于印发“十四五”节能减排综合性工作方案的通知》（国发〔</w:t>
            </w:r>
            <w:r>
              <w:rPr>
                <w:sz w:val="24"/>
              </w:rPr>
              <w:t>2021〕33号），</w:t>
            </w:r>
            <w:r>
              <w:rPr>
                <w:rFonts w:hint="eastAsia"/>
                <w:sz w:val="24"/>
              </w:rPr>
              <w:t>“</w:t>
            </w:r>
            <w:r>
              <w:rPr>
                <w:sz w:val="24"/>
              </w:rPr>
              <w:t>十四五</w:t>
            </w:r>
            <w:r>
              <w:rPr>
                <w:rFonts w:hint="eastAsia"/>
                <w:sz w:val="24"/>
              </w:rPr>
              <w:t>”</w:t>
            </w:r>
            <w:r>
              <w:rPr>
                <w:sz w:val="24"/>
              </w:rPr>
              <w:t>期间国家对化学需氧量、氨氮、氮氧化物以及挥发性有机物等主要污染物实行排放总量控制计划管理。</w:t>
            </w:r>
          </w:p>
          <w:p>
            <w:pPr>
              <w:spacing w:line="360" w:lineRule="auto"/>
              <w:ind w:firstLine="480" w:firstLineChars="200"/>
              <w:rPr>
                <w:kern w:val="0"/>
                <w:sz w:val="24"/>
              </w:rPr>
            </w:pPr>
            <w:r>
              <w:rPr>
                <w:rFonts w:hint="eastAsia"/>
                <w:kern w:val="0"/>
                <w:sz w:val="24"/>
              </w:rPr>
              <w:t>项目运营期生产生活废水经合理收集后回用，不向周边地表水体直接排放，故本项目不核定COD、NH</w:t>
            </w:r>
            <w:r>
              <w:rPr>
                <w:kern w:val="0"/>
                <w:sz w:val="24"/>
                <w:vertAlign w:val="subscript"/>
              </w:rPr>
              <w:t>3</w:t>
            </w:r>
            <w:r>
              <w:rPr>
                <w:kern w:val="0"/>
                <w:sz w:val="24"/>
              </w:rPr>
              <w:t>-</w:t>
            </w:r>
            <w:r>
              <w:rPr>
                <w:rFonts w:hint="eastAsia"/>
                <w:kern w:val="0"/>
                <w:sz w:val="24"/>
              </w:rPr>
              <w:t>N排放总量控制指标。</w:t>
            </w:r>
          </w:p>
          <w:p>
            <w:pPr>
              <w:spacing w:line="360" w:lineRule="auto"/>
              <w:ind w:firstLine="480" w:firstLineChars="200"/>
              <w:rPr>
                <w:kern w:val="0"/>
                <w:sz w:val="24"/>
              </w:rPr>
            </w:pPr>
            <w:r>
              <w:rPr>
                <w:rFonts w:hint="eastAsia"/>
                <w:kern w:val="0"/>
                <w:sz w:val="24"/>
              </w:rPr>
              <w:t>项目运营期排放大气污染物主要为颗粒物（TSP），其未纳入</w:t>
            </w:r>
            <w:r>
              <w:rPr>
                <w:rFonts w:hint="eastAsia"/>
                <w:sz w:val="24"/>
              </w:rPr>
              <w:t>“</w:t>
            </w:r>
            <w:r>
              <w:rPr>
                <w:sz w:val="24"/>
              </w:rPr>
              <w:t>十四五</w:t>
            </w:r>
            <w:r>
              <w:rPr>
                <w:rFonts w:hint="eastAsia"/>
                <w:sz w:val="24"/>
              </w:rPr>
              <w:t>”期间总量控制计划管理内，故本项目不核定TSP排放总量控制指标。</w:t>
            </w:r>
          </w:p>
        </w:tc>
      </w:tr>
    </w:tbl>
    <w:p>
      <w:pPr>
        <w:pStyle w:val="30"/>
        <w:jc w:val="both"/>
        <w:rPr>
          <w:rFonts w:ascii="Times New Roman" w:hAnsi="Times New Roman"/>
          <w:snapToGrid w:val="0"/>
          <w:sz w:val="36"/>
          <w:szCs w:val="36"/>
        </w:rPr>
        <w:sectPr>
          <w:pgSz w:w="11906" w:h="16838"/>
          <w:pgMar w:top="1701" w:right="1531" w:bottom="1701" w:left="1531" w:header="851" w:footer="851" w:gutter="0"/>
          <w:cols w:space="720" w:num="1"/>
          <w:docGrid w:linePitch="312" w:charSpace="0"/>
        </w:sectPr>
      </w:pPr>
    </w:p>
    <w:p>
      <w:pPr>
        <w:pStyle w:val="30"/>
        <w:spacing w:before="0" w:beforeAutospacing="0" w:after="0" w:afterAutospacing="0"/>
        <w:jc w:val="center"/>
        <w:outlineLvl w:val="0"/>
        <w:rPr>
          <w:rFonts w:ascii="黑体" w:hAnsi="黑体" w:eastAsia="黑体"/>
          <w:b/>
          <w:bCs/>
          <w:snapToGrid w:val="0"/>
          <w:sz w:val="30"/>
          <w:szCs w:val="30"/>
        </w:rPr>
      </w:pPr>
      <w:bookmarkStart w:id="47" w:name="_Toc140064122"/>
      <w:r>
        <w:rPr>
          <w:rFonts w:ascii="黑体" w:hAnsi="黑体" w:eastAsia="黑体"/>
          <w:b/>
          <w:bCs/>
          <w:snapToGrid w:val="0"/>
          <w:sz w:val="30"/>
          <w:szCs w:val="30"/>
        </w:rPr>
        <w:t>四、主要环境影响和保护措施</w:t>
      </w:r>
      <w:bookmarkEnd w:id="47"/>
    </w:p>
    <w:tbl>
      <w:tblPr>
        <w:tblStyle w:val="32"/>
        <w:tblpPr w:leftFromText="180" w:rightFromText="180" w:vertAnchor="text" w:tblpXSpec="center" w:tblpY="1"/>
        <w:tblOverlap w:val="never"/>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81"/>
        <w:gridCol w:w="87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dxa"/>
            <w:tcMar>
              <w:left w:w="28" w:type="dxa"/>
              <w:right w:w="28" w:type="dxa"/>
            </w:tcMar>
            <w:vAlign w:val="center"/>
          </w:tcPr>
          <w:p>
            <w:pPr>
              <w:pStyle w:val="30"/>
              <w:adjustRightInd w:val="0"/>
              <w:snapToGrid w:val="0"/>
              <w:spacing w:before="0" w:beforeAutospacing="0" w:after="0" w:afterAutospacing="0"/>
              <w:jc w:val="center"/>
              <w:rPr>
                <w:rFonts w:ascii="Times New Roman" w:hAnsi="Times New Roman"/>
                <w:b/>
                <w:bCs/>
                <w:kern w:val="2"/>
                <w:szCs w:val="24"/>
              </w:rPr>
            </w:pPr>
            <w:bookmarkStart w:id="48" w:name="_Hlk130302531"/>
            <w:r>
              <w:rPr>
                <w:rFonts w:ascii="Times New Roman" w:hAnsi="Times New Roman"/>
                <w:b/>
                <w:bCs/>
                <w:kern w:val="2"/>
                <w:szCs w:val="24"/>
              </w:rPr>
              <w:t>施工</w:t>
            </w:r>
          </w:p>
          <w:p>
            <w:pPr>
              <w:pStyle w:val="30"/>
              <w:adjustRightInd w:val="0"/>
              <w:snapToGrid w:val="0"/>
              <w:spacing w:before="0" w:beforeAutospacing="0" w:after="0" w:afterAutospacing="0"/>
              <w:jc w:val="center"/>
              <w:rPr>
                <w:rFonts w:ascii="Times New Roman" w:hAnsi="Times New Roman"/>
                <w:b/>
                <w:bCs/>
                <w:kern w:val="2"/>
                <w:szCs w:val="24"/>
              </w:rPr>
            </w:pPr>
            <w:r>
              <w:rPr>
                <w:rFonts w:ascii="Times New Roman" w:hAnsi="Times New Roman"/>
                <w:b/>
                <w:bCs/>
                <w:kern w:val="2"/>
                <w:szCs w:val="24"/>
              </w:rPr>
              <w:t>期环</w:t>
            </w:r>
          </w:p>
          <w:p>
            <w:pPr>
              <w:pStyle w:val="30"/>
              <w:adjustRightInd w:val="0"/>
              <w:snapToGrid w:val="0"/>
              <w:spacing w:before="0" w:beforeAutospacing="0" w:after="0" w:afterAutospacing="0"/>
              <w:jc w:val="center"/>
              <w:rPr>
                <w:rFonts w:ascii="Times New Roman" w:hAnsi="Times New Roman"/>
                <w:b/>
                <w:bCs/>
                <w:kern w:val="2"/>
                <w:szCs w:val="24"/>
              </w:rPr>
            </w:pPr>
            <w:r>
              <w:rPr>
                <w:rFonts w:ascii="Times New Roman" w:hAnsi="Times New Roman"/>
                <w:b/>
                <w:bCs/>
                <w:kern w:val="2"/>
                <w:szCs w:val="24"/>
              </w:rPr>
              <w:t>境保</w:t>
            </w:r>
          </w:p>
          <w:p>
            <w:pPr>
              <w:pStyle w:val="30"/>
              <w:adjustRightInd w:val="0"/>
              <w:snapToGrid w:val="0"/>
              <w:spacing w:before="0" w:beforeAutospacing="0" w:after="0" w:afterAutospacing="0"/>
              <w:jc w:val="center"/>
              <w:rPr>
                <w:rFonts w:ascii="Times New Roman" w:hAnsi="Times New Roman"/>
                <w:b/>
                <w:bCs/>
                <w:kern w:val="2"/>
                <w:szCs w:val="24"/>
              </w:rPr>
            </w:pPr>
            <w:r>
              <w:rPr>
                <w:rFonts w:ascii="Times New Roman" w:hAnsi="Times New Roman"/>
                <w:b/>
                <w:bCs/>
                <w:kern w:val="2"/>
                <w:szCs w:val="24"/>
              </w:rPr>
              <w:t>护措</w:t>
            </w:r>
          </w:p>
          <w:p>
            <w:pPr>
              <w:pStyle w:val="30"/>
              <w:adjustRightInd w:val="0"/>
              <w:snapToGrid w:val="0"/>
              <w:spacing w:before="0" w:beforeAutospacing="0" w:after="0" w:afterAutospacing="0"/>
              <w:jc w:val="center"/>
              <w:rPr>
                <w:rFonts w:ascii="Times New Roman" w:hAnsi="Times New Roman"/>
                <w:b/>
                <w:bCs/>
                <w:kern w:val="2"/>
                <w:sz w:val="21"/>
                <w:szCs w:val="21"/>
              </w:rPr>
            </w:pPr>
            <w:r>
              <w:rPr>
                <w:rFonts w:ascii="Times New Roman" w:hAnsi="Times New Roman"/>
                <w:b/>
                <w:bCs/>
                <w:kern w:val="2"/>
                <w:szCs w:val="24"/>
              </w:rPr>
              <w:t>施</w:t>
            </w:r>
          </w:p>
        </w:tc>
        <w:tc>
          <w:tcPr>
            <w:tcW w:w="8527" w:type="dxa"/>
            <w:vAlign w:val="center"/>
          </w:tcPr>
          <w:p>
            <w:pPr>
              <w:pStyle w:val="13"/>
              <w:spacing w:line="360" w:lineRule="auto"/>
              <w:ind w:firstLine="480" w:firstLineChars="200"/>
              <w:rPr>
                <w:color w:val="0000FF"/>
                <w:kern w:val="0"/>
              </w:rPr>
            </w:pPr>
            <w:r>
              <w:rPr>
                <w:rFonts w:hint="eastAsia"/>
                <w:color w:val="0000FF"/>
                <w:kern w:val="0"/>
              </w:rPr>
              <w:t>根据现场勘察，本项目主体工程已基本建设完成，主体施工期已基本结束，但本项目后续需完善环保设施建设后方可投入试运行，环保设施完善期间，本次评价建议采取以下污染物防治措施：</w:t>
            </w:r>
          </w:p>
          <w:p>
            <w:pPr>
              <w:spacing w:line="360" w:lineRule="auto"/>
              <w:rPr>
                <w:rFonts w:ascii="黑体" w:hAnsi="黑体" w:eastAsia="黑体"/>
                <w:b/>
                <w:bCs/>
                <w:kern w:val="0"/>
                <w:sz w:val="24"/>
              </w:rPr>
            </w:pPr>
            <w:r>
              <w:rPr>
                <w:rFonts w:hint="eastAsia" w:ascii="黑体" w:hAnsi="黑体" w:eastAsia="黑体"/>
                <w:b/>
                <w:bCs/>
                <w:kern w:val="0"/>
                <w:sz w:val="24"/>
              </w:rPr>
              <w:t>（一）施工期大气污染物防治措施</w:t>
            </w:r>
          </w:p>
          <w:p>
            <w:pPr>
              <w:pStyle w:val="13"/>
              <w:spacing w:line="360" w:lineRule="auto"/>
              <w:ind w:firstLine="480" w:firstLineChars="200"/>
              <w:rPr>
                <w:kern w:val="0"/>
              </w:rPr>
            </w:pPr>
            <w:r>
              <w:rPr>
                <w:rFonts w:hint="eastAsia"/>
                <w:kern w:val="0"/>
              </w:rPr>
              <w:t>为减小项目施工扬尘对周围环境的影响，要求项目严格按照HJ/T393-2007《防治城市扬尘污染技术规范》、《环境空气细颗粒物污染防治技术政策》（环保部公告2013年59号）等国家及地方要求采取相应的处理措施:</w:t>
            </w:r>
          </w:p>
          <w:p>
            <w:pPr>
              <w:pStyle w:val="13"/>
              <w:spacing w:line="360" w:lineRule="auto"/>
              <w:ind w:firstLine="480" w:firstLineChars="200"/>
              <w:rPr>
                <w:kern w:val="0"/>
              </w:rPr>
            </w:pPr>
            <w:r>
              <w:rPr>
                <w:rFonts w:hint="eastAsia"/>
                <w:kern w:val="0"/>
              </w:rPr>
              <w:t>（1）运输车辆需设置车辆冲洗系统对轮胎进行冲洗，以免造成较大扬尘；运输过程中禁止超载超速。</w:t>
            </w:r>
          </w:p>
          <w:p>
            <w:pPr>
              <w:pStyle w:val="13"/>
              <w:spacing w:line="360" w:lineRule="auto"/>
              <w:ind w:firstLine="480" w:firstLineChars="200"/>
              <w:rPr>
                <w:kern w:val="0"/>
              </w:rPr>
            </w:pPr>
            <w:r>
              <w:rPr>
                <w:rFonts w:hint="eastAsia"/>
                <w:kern w:val="0"/>
              </w:rPr>
              <w:t>（2）设置进厂道路养护、维修、清扫专职人员，定期对主要依托道路进行清扫、洒水降尘等，保持道路清洁、运行状态良好。并要求车辆行驶时应当低速行驶，以减少扬尘产生。</w:t>
            </w:r>
          </w:p>
          <w:p>
            <w:pPr>
              <w:pStyle w:val="13"/>
              <w:spacing w:line="360" w:lineRule="auto"/>
              <w:ind w:firstLine="480" w:firstLineChars="200"/>
              <w:rPr>
                <w:kern w:val="0"/>
              </w:rPr>
            </w:pPr>
            <w:r>
              <w:rPr>
                <w:rFonts w:hint="eastAsia"/>
                <w:kern w:val="0"/>
              </w:rPr>
              <w:t>（3）施工场地定期洒水，减少扬尘产生，一般每天不少于2次；若遇到四级或四级以上大风应停止土石方作业，并适当增加洒水次数。</w:t>
            </w:r>
          </w:p>
          <w:p>
            <w:pPr>
              <w:pStyle w:val="13"/>
              <w:spacing w:line="360" w:lineRule="auto"/>
              <w:ind w:firstLine="480" w:firstLineChars="200"/>
              <w:rPr>
                <w:kern w:val="0"/>
              </w:rPr>
            </w:pPr>
            <w:r>
              <w:rPr>
                <w:rFonts w:hint="eastAsia"/>
                <w:kern w:val="0"/>
              </w:rPr>
              <w:t>（4）建筑材料及时清运，物料设置专门封闭堆存间、无法封闭堆存的物料应采用土工布进行全封闭的遮盖，减少物料在项目内的堆存时间。</w:t>
            </w:r>
          </w:p>
          <w:p>
            <w:pPr>
              <w:spacing w:line="360" w:lineRule="auto"/>
              <w:rPr>
                <w:rFonts w:ascii="黑体" w:hAnsi="黑体" w:eastAsia="黑体"/>
                <w:b/>
                <w:bCs/>
                <w:kern w:val="0"/>
                <w:sz w:val="24"/>
              </w:rPr>
            </w:pPr>
            <w:r>
              <w:rPr>
                <w:rFonts w:hint="eastAsia" w:ascii="黑体" w:hAnsi="黑体" w:eastAsia="黑体"/>
                <w:b/>
                <w:bCs/>
                <w:kern w:val="0"/>
                <w:sz w:val="24"/>
              </w:rPr>
              <w:t>（二）施工期水污染物防治措施</w:t>
            </w:r>
          </w:p>
          <w:p>
            <w:pPr>
              <w:pStyle w:val="13"/>
              <w:spacing w:line="360" w:lineRule="auto"/>
              <w:ind w:firstLine="480" w:firstLineChars="200"/>
              <w:rPr>
                <w:kern w:val="0"/>
              </w:rPr>
            </w:pPr>
            <w:r>
              <w:rPr>
                <w:rFonts w:hint="eastAsia"/>
                <w:kern w:val="0"/>
              </w:rPr>
              <w:t>（1）尽量避免雨季土石方施工。另外，充分考虑降雨的季节性变化，合理安排施工期，施工期应尽量避开雨季。</w:t>
            </w:r>
          </w:p>
          <w:p>
            <w:pPr>
              <w:pStyle w:val="13"/>
              <w:spacing w:line="360" w:lineRule="auto"/>
              <w:ind w:firstLine="480" w:firstLineChars="200"/>
              <w:rPr>
                <w:kern w:val="0"/>
              </w:rPr>
            </w:pPr>
            <w:r>
              <w:rPr>
                <w:rFonts w:hint="eastAsia"/>
                <w:kern w:val="0"/>
              </w:rPr>
              <w:t>（2）合理安排挖填方的工作量和工作进度，尽可能减少雨季期间的堆置量。</w:t>
            </w:r>
          </w:p>
          <w:p>
            <w:pPr>
              <w:pStyle w:val="13"/>
              <w:spacing w:line="360" w:lineRule="auto"/>
              <w:ind w:firstLine="480" w:firstLineChars="200"/>
              <w:rPr>
                <w:kern w:val="0"/>
              </w:rPr>
            </w:pPr>
            <w:r>
              <w:rPr>
                <w:rFonts w:hint="eastAsia"/>
                <w:kern w:val="0"/>
              </w:rPr>
              <w:t>（3）施工场地内设置沉砂池，雨天场地径流经沉砂池沉淀处理后方可排出施工场地。</w:t>
            </w:r>
          </w:p>
          <w:p>
            <w:pPr>
              <w:pStyle w:val="13"/>
              <w:spacing w:line="360" w:lineRule="auto"/>
              <w:ind w:firstLine="480" w:firstLineChars="200"/>
              <w:rPr>
                <w:kern w:val="0"/>
              </w:rPr>
            </w:pPr>
            <w:r>
              <w:rPr>
                <w:rFonts w:hint="eastAsia"/>
                <w:kern w:val="0"/>
              </w:rPr>
              <w:t>（4）定期检查堆土拦挡设施、排水沟畅通情况，以及沉砂池淤积情况，避免各设施损坏导致地表径流污染物浓度增大，或处理效果下降，对外环境造成影响。</w:t>
            </w:r>
          </w:p>
          <w:p>
            <w:pPr>
              <w:pStyle w:val="13"/>
              <w:spacing w:line="360" w:lineRule="auto"/>
              <w:ind w:firstLine="480" w:firstLineChars="200"/>
              <w:rPr>
                <w:kern w:val="0"/>
              </w:rPr>
            </w:pPr>
            <w:r>
              <w:rPr>
                <w:rFonts w:hint="eastAsia"/>
                <w:kern w:val="0"/>
              </w:rPr>
              <w:t>（5）设置废水收集池对施工人员生活污水进行收集，晴天回用于周边绿植浇洒，不外排。</w:t>
            </w:r>
          </w:p>
          <w:p>
            <w:pPr>
              <w:pStyle w:val="13"/>
              <w:spacing w:line="360" w:lineRule="auto"/>
              <w:ind w:firstLine="480" w:firstLineChars="200"/>
              <w:rPr>
                <w:kern w:val="0"/>
              </w:rPr>
            </w:pPr>
            <w:r>
              <w:rPr>
                <w:rFonts w:hint="eastAsia"/>
                <w:kern w:val="0"/>
              </w:rPr>
              <w:t>（6）施工场地内设置沉淀池对施工废水进行收集，经沉淀处理后回用于施工工序和施工场地洒水降尘，不外排。</w:t>
            </w:r>
          </w:p>
          <w:p>
            <w:pPr>
              <w:spacing w:line="360" w:lineRule="auto"/>
              <w:rPr>
                <w:rFonts w:ascii="黑体" w:hAnsi="黑体" w:eastAsia="黑体"/>
                <w:b/>
                <w:bCs/>
                <w:kern w:val="0"/>
                <w:sz w:val="24"/>
              </w:rPr>
            </w:pPr>
            <w:r>
              <w:rPr>
                <w:rFonts w:hint="eastAsia" w:ascii="黑体" w:hAnsi="黑体" w:eastAsia="黑体"/>
                <w:b/>
                <w:bCs/>
                <w:kern w:val="0"/>
                <w:sz w:val="24"/>
              </w:rPr>
              <w:t>（三）施工期噪声污染防治措施</w:t>
            </w:r>
          </w:p>
          <w:p>
            <w:pPr>
              <w:pStyle w:val="13"/>
              <w:spacing w:line="360" w:lineRule="auto"/>
              <w:ind w:firstLine="480" w:firstLineChars="200"/>
              <w:rPr>
                <w:kern w:val="0"/>
              </w:rPr>
            </w:pPr>
            <w:r>
              <w:rPr>
                <w:rFonts w:hint="eastAsia"/>
                <w:kern w:val="0"/>
              </w:rPr>
              <w:t>（1）建设期间，提醒施工人员在施工作业时不得敲打钢管、钢模板，尽量减少噪音。</w:t>
            </w:r>
          </w:p>
          <w:p>
            <w:pPr>
              <w:pStyle w:val="13"/>
              <w:spacing w:line="360" w:lineRule="auto"/>
              <w:ind w:firstLine="480" w:firstLineChars="200"/>
              <w:rPr>
                <w:kern w:val="0"/>
              </w:rPr>
            </w:pPr>
            <w:r>
              <w:rPr>
                <w:rFonts w:hint="eastAsia"/>
                <w:kern w:val="0"/>
              </w:rPr>
              <w:t>（2）建设单位应要求施工单位选用低噪设备，加强检修、保养，保持良好的运行状态，减小噪声的产生。</w:t>
            </w:r>
          </w:p>
          <w:p>
            <w:pPr>
              <w:pStyle w:val="13"/>
              <w:spacing w:line="360" w:lineRule="auto"/>
              <w:ind w:firstLine="480" w:firstLineChars="200"/>
              <w:rPr>
                <w:kern w:val="0"/>
              </w:rPr>
            </w:pPr>
            <w:r>
              <w:rPr>
                <w:rFonts w:hint="eastAsia"/>
                <w:kern w:val="0"/>
              </w:rPr>
              <w:t>（3）夜间禁止开展运输作业工作，避免车辆噪声排放影响运输路线沿线声环境质量。</w:t>
            </w:r>
          </w:p>
          <w:p>
            <w:pPr>
              <w:spacing w:line="360" w:lineRule="auto"/>
              <w:rPr>
                <w:rFonts w:ascii="黑体" w:hAnsi="黑体" w:eastAsia="黑体"/>
                <w:b/>
                <w:bCs/>
                <w:kern w:val="0"/>
                <w:sz w:val="24"/>
              </w:rPr>
            </w:pPr>
            <w:r>
              <w:rPr>
                <w:rFonts w:hint="eastAsia" w:ascii="黑体" w:hAnsi="黑体" w:eastAsia="黑体"/>
                <w:b/>
                <w:bCs/>
                <w:kern w:val="0"/>
                <w:sz w:val="24"/>
              </w:rPr>
              <w:t>（四）施工期固体废物污染防治措施</w:t>
            </w:r>
          </w:p>
          <w:p>
            <w:pPr>
              <w:pStyle w:val="13"/>
              <w:spacing w:line="360" w:lineRule="auto"/>
              <w:ind w:firstLine="480" w:firstLineChars="200"/>
              <w:rPr>
                <w:kern w:val="0"/>
              </w:rPr>
            </w:pPr>
            <w:r>
              <w:rPr>
                <w:rFonts w:hint="eastAsia"/>
                <w:kern w:val="0"/>
              </w:rPr>
              <w:t>（1）建筑垃圾可回收出售的出售给资源回收单位，不可回收部分由建设单位定时清运处理，并按当地人民政府市容环境卫生主管部门的规定处置，防止污染环境。</w:t>
            </w:r>
          </w:p>
          <w:p>
            <w:pPr>
              <w:pStyle w:val="13"/>
              <w:spacing w:line="360" w:lineRule="auto"/>
              <w:ind w:firstLine="480" w:firstLineChars="200"/>
              <w:rPr>
                <w:kern w:val="0"/>
              </w:rPr>
            </w:pPr>
            <w:r>
              <w:rPr>
                <w:rFonts w:hint="eastAsia"/>
                <w:kern w:val="0"/>
              </w:rPr>
              <w:t>（2）建设单位不得将建筑垃圾交给个人或者未经核准从事建筑垃圾运输的单位运输。</w:t>
            </w:r>
          </w:p>
          <w:p>
            <w:pPr>
              <w:pStyle w:val="13"/>
              <w:spacing w:line="360" w:lineRule="auto"/>
              <w:ind w:firstLine="480" w:firstLineChars="200"/>
              <w:rPr>
                <w:kern w:val="0"/>
              </w:rPr>
            </w:pPr>
            <w:r>
              <w:rPr>
                <w:rFonts w:hint="eastAsia"/>
                <w:kern w:val="0"/>
              </w:rPr>
              <w:t>（3）任何单位和个人不得随意倾倒、抛撒或者堆放建筑垃圾。</w:t>
            </w:r>
          </w:p>
          <w:p>
            <w:pPr>
              <w:pStyle w:val="13"/>
              <w:spacing w:line="360" w:lineRule="auto"/>
              <w:ind w:firstLine="480" w:firstLineChars="200"/>
              <w:rPr>
                <w:kern w:val="0"/>
              </w:rPr>
            </w:pPr>
            <w:r>
              <w:rPr>
                <w:rFonts w:hint="eastAsia"/>
                <w:kern w:val="0"/>
              </w:rPr>
              <w:t>（4）职工生活垃圾及含油棉纱、抹布经生活垃圾桶进行收集后定期清运至区域指定生活垃圾收集处置点处置，交由环卫部门清运处置，不得焚烧、不得随意倾倒。</w:t>
            </w:r>
          </w:p>
          <w:p>
            <w:pPr>
              <w:spacing w:line="360" w:lineRule="auto"/>
              <w:rPr>
                <w:rFonts w:ascii="黑体" w:hAnsi="黑体" w:eastAsia="黑体"/>
                <w:b/>
                <w:bCs/>
                <w:kern w:val="0"/>
                <w:sz w:val="24"/>
              </w:rPr>
            </w:pPr>
            <w:r>
              <w:rPr>
                <w:rFonts w:hint="eastAsia" w:ascii="黑体" w:hAnsi="黑体" w:eastAsia="黑体"/>
                <w:b/>
                <w:bCs/>
                <w:kern w:val="0"/>
                <w:sz w:val="24"/>
              </w:rPr>
              <w:t>（五）施工期生态环境保护措施</w:t>
            </w:r>
          </w:p>
          <w:p>
            <w:pPr>
              <w:pStyle w:val="13"/>
              <w:spacing w:line="360" w:lineRule="auto"/>
              <w:ind w:firstLine="480" w:firstLineChars="200"/>
              <w:rPr>
                <w:kern w:val="0"/>
              </w:rPr>
            </w:pPr>
            <w:r>
              <w:rPr>
                <w:rFonts w:hint="eastAsia"/>
                <w:kern w:val="0"/>
              </w:rPr>
              <w:t>项目施工期要求建设单位采取的生态环境保护措施如下：</w:t>
            </w:r>
          </w:p>
          <w:p>
            <w:pPr>
              <w:pStyle w:val="13"/>
              <w:spacing w:line="360" w:lineRule="auto"/>
              <w:ind w:firstLine="480" w:firstLineChars="200"/>
              <w:rPr>
                <w:kern w:val="0"/>
              </w:rPr>
            </w:pPr>
            <w:r>
              <w:rPr>
                <w:rFonts w:hint="eastAsia"/>
                <w:kern w:val="0"/>
              </w:rPr>
              <w:t>（1）施工场地尽量全部设置在建设规划用地内，杜绝不合理占地:</w:t>
            </w:r>
          </w:p>
          <w:p>
            <w:pPr>
              <w:pStyle w:val="13"/>
              <w:spacing w:line="360" w:lineRule="auto"/>
              <w:ind w:firstLine="480" w:firstLineChars="200"/>
              <w:rPr>
                <w:kern w:val="0"/>
              </w:rPr>
            </w:pPr>
            <w:r>
              <w:rPr>
                <w:rFonts w:hint="eastAsia"/>
                <w:kern w:val="0"/>
              </w:rPr>
              <w:t>（2）设置建设期专职环境管理人员，明确其职能，落实生态环境影响保护与恢复的监督管理措施;</w:t>
            </w:r>
          </w:p>
          <w:p>
            <w:pPr>
              <w:pStyle w:val="13"/>
              <w:spacing w:line="360" w:lineRule="auto"/>
              <w:ind w:firstLine="480" w:firstLineChars="200"/>
              <w:rPr>
                <w:kern w:val="0"/>
              </w:rPr>
            </w:pPr>
            <w:r>
              <w:rPr>
                <w:rFonts w:hint="eastAsia"/>
                <w:kern w:val="0"/>
              </w:rPr>
              <w:t>（3）充分利用占地区域内地形地貌，尽可能减少占地面积，减小对土壤、植被的破坏面积;减少挖方、填方量，尽量做到工程自身土石方平衡。建设期应避开雨天与大风天气，减少水土流失量;</w:t>
            </w:r>
          </w:p>
          <w:p>
            <w:pPr>
              <w:pStyle w:val="13"/>
              <w:spacing w:line="360" w:lineRule="auto"/>
              <w:ind w:firstLine="480" w:firstLineChars="200"/>
              <w:rPr>
                <w:kern w:val="0"/>
              </w:rPr>
            </w:pPr>
            <w:r>
              <w:rPr>
                <w:rFonts w:hint="eastAsia"/>
                <w:kern w:val="0"/>
              </w:rPr>
              <w:t>（4）控制临时占地，避免对场外植被产生影响;</w:t>
            </w:r>
          </w:p>
          <w:p>
            <w:pPr>
              <w:pStyle w:val="13"/>
              <w:spacing w:line="360" w:lineRule="auto"/>
              <w:ind w:firstLine="480" w:firstLineChars="200"/>
              <w:rPr>
                <w:kern w:val="0"/>
              </w:rPr>
            </w:pPr>
            <w:r>
              <w:rPr>
                <w:rFonts w:hint="eastAsia"/>
                <w:kern w:val="0"/>
              </w:rPr>
              <w:t>（5）建设过程中，进行绿化补偿，及时选择当地优势树种进行植被恢复;(6）施工完毕后应尽快清理施工现场，对可以进行植被恢复的场地覆盖表土，做到及时对场地绿化。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dxa"/>
            <w:tcMar>
              <w:left w:w="28" w:type="dxa"/>
              <w:right w:w="28" w:type="dxa"/>
            </w:tcMar>
            <w:vAlign w:val="center"/>
          </w:tcPr>
          <w:p>
            <w:pPr>
              <w:adjustRightInd w:val="0"/>
              <w:snapToGrid w:val="0"/>
              <w:jc w:val="center"/>
              <w:rPr>
                <w:b/>
                <w:sz w:val="24"/>
              </w:rPr>
            </w:pPr>
            <w:r>
              <w:rPr>
                <w:b/>
                <w:sz w:val="24"/>
              </w:rPr>
              <w:t>运营</w:t>
            </w:r>
          </w:p>
          <w:p>
            <w:pPr>
              <w:adjustRightInd w:val="0"/>
              <w:snapToGrid w:val="0"/>
              <w:jc w:val="center"/>
              <w:rPr>
                <w:b/>
                <w:sz w:val="24"/>
              </w:rPr>
            </w:pPr>
            <w:r>
              <w:rPr>
                <w:b/>
                <w:sz w:val="24"/>
              </w:rPr>
              <w:t>期环</w:t>
            </w:r>
          </w:p>
          <w:p>
            <w:pPr>
              <w:adjustRightInd w:val="0"/>
              <w:snapToGrid w:val="0"/>
              <w:jc w:val="center"/>
              <w:rPr>
                <w:b/>
                <w:sz w:val="24"/>
              </w:rPr>
            </w:pPr>
            <w:r>
              <w:rPr>
                <w:b/>
                <w:sz w:val="24"/>
              </w:rPr>
              <w:t>境影</w:t>
            </w:r>
          </w:p>
          <w:p>
            <w:pPr>
              <w:adjustRightInd w:val="0"/>
              <w:snapToGrid w:val="0"/>
              <w:jc w:val="center"/>
              <w:rPr>
                <w:b/>
                <w:sz w:val="24"/>
              </w:rPr>
            </w:pPr>
            <w:r>
              <w:rPr>
                <w:b/>
                <w:sz w:val="24"/>
              </w:rPr>
              <w:t>响和</w:t>
            </w:r>
          </w:p>
          <w:p>
            <w:pPr>
              <w:adjustRightInd w:val="0"/>
              <w:snapToGrid w:val="0"/>
              <w:jc w:val="center"/>
              <w:rPr>
                <w:b/>
                <w:sz w:val="24"/>
              </w:rPr>
            </w:pPr>
            <w:r>
              <w:rPr>
                <w:b/>
                <w:sz w:val="24"/>
              </w:rPr>
              <w:t>保护</w:t>
            </w:r>
          </w:p>
          <w:p>
            <w:pPr>
              <w:adjustRightInd w:val="0"/>
              <w:snapToGrid w:val="0"/>
              <w:jc w:val="center"/>
              <w:rPr>
                <w:bCs/>
                <w:szCs w:val="21"/>
              </w:rPr>
            </w:pPr>
            <w:r>
              <w:rPr>
                <w:b/>
                <w:sz w:val="24"/>
              </w:rPr>
              <w:t>措施</w:t>
            </w:r>
          </w:p>
        </w:tc>
        <w:tc>
          <w:tcPr>
            <w:tcW w:w="8527" w:type="dxa"/>
            <w:vAlign w:val="center"/>
          </w:tcPr>
          <w:p>
            <w:pPr>
              <w:spacing w:line="360" w:lineRule="auto"/>
              <w:rPr>
                <w:rFonts w:ascii="黑体" w:hAnsi="黑体" w:eastAsia="黑体"/>
                <w:b/>
                <w:bCs/>
                <w:color w:val="0000FF"/>
                <w:kern w:val="0"/>
                <w:sz w:val="24"/>
              </w:rPr>
            </w:pPr>
            <w:r>
              <w:rPr>
                <w:rFonts w:hint="eastAsia" w:ascii="黑体" w:hAnsi="黑体" w:eastAsia="黑体"/>
                <w:b/>
                <w:bCs/>
                <w:color w:val="0000FF"/>
                <w:kern w:val="0"/>
                <w:sz w:val="24"/>
              </w:rPr>
              <w:t>（六）运营期</w:t>
            </w:r>
            <w:r>
              <w:rPr>
                <w:rFonts w:ascii="黑体" w:hAnsi="黑体" w:eastAsia="黑体"/>
                <w:b/>
                <w:bCs/>
                <w:color w:val="0000FF"/>
                <w:kern w:val="0"/>
                <w:sz w:val="24"/>
              </w:rPr>
              <w:t>大气环境影响和保护措施</w:t>
            </w:r>
          </w:p>
          <w:p>
            <w:pPr>
              <w:spacing w:line="360" w:lineRule="auto"/>
              <w:jc w:val="left"/>
              <w:rPr>
                <w:b/>
                <w:color w:val="0000FF"/>
                <w:sz w:val="24"/>
              </w:rPr>
            </w:pPr>
            <w:bookmarkStart w:id="49" w:name="_Hlk143188099"/>
            <w:r>
              <w:rPr>
                <w:rFonts w:hint="eastAsia"/>
                <w:b/>
                <w:color w:val="0000FF"/>
                <w:sz w:val="24"/>
              </w:rPr>
              <w:t>1、大气污染物源强核算</w:t>
            </w:r>
          </w:p>
          <w:p>
            <w:pPr>
              <w:spacing w:line="360" w:lineRule="auto"/>
              <w:ind w:firstLine="481" w:firstLineChars="200"/>
              <w:rPr>
                <w:b/>
                <w:color w:val="0000FF"/>
                <w:sz w:val="24"/>
              </w:rPr>
            </w:pPr>
            <w:bookmarkStart w:id="50" w:name="_Hlk146185392"/>
            <w:r>
              <w:rPr>
                <w:rFonts w:hint="eastAsia"/>
                <w:b/>
                <w:color w:val="0000FF"/>
                <w:sz w:val="24"/>
              </w:rPr>
              <w:t>（1）运输扬尘</w:t>
            </w:r>
          </w:p>
          <w:p>
            <w:pPr>
              <w:spacing w:line="360" w:lineRule="auto"/>
              <w:ind w:firstLine="480" w:firstLineChars="200"/>
              <w:rPr>
                <w:color w:val="0000FF"/>
                <w:sz w:val="24"/>
              </w:rPr>
            </w:pPr>
            <w:r>
              <w:rPr>
                <w:rFonts w:hint="eastAsia"/>
                <w:color w:val="0000FF"/>
                <w:sz w:val="24"/>
              </w:rPr>
              <w:t>项目运营期原辅料运输进厂及产品运输出厂过程中会产生一定量扬尘。厂区内运输道路为碎结石路面，项目运营期车辆运输产生的扬尘按下列经验公式计算：</w:t>
            </w:r>
          </w:p>
          <w:p>
            <w:pPr>
              <w:spacing w:line="360" w:lineRule="auto"/>
              <w:jc w:val="center"/>
              <w:rPr>
                <w:color w:val="0000FF"/>
                <w:sz w:val="24"/>
                <w:vertAlign w:val="superscript"/>
              </w:rPr>
            </w:pPr>
            <w:r>
              <w:rPr>
                <w:rFonts w:hint="eastAsia"/>
                <w:color w:val="0000FF"/>
                <w:sz w:val="24"/>
              </w:rPr>
              <w:t>Q</w:t>
            </w:r>
            <w:r>
              <w:rPr>
                <w:color w:val="0000FF"/>
                <w:sz w:val="24"/>
              </w:rPr>
              <w:t>=0.123</w:t>
            </w:r>
            <w:r>
              <w:rPr>
                <w:rFonts w:hint="eastAsia" w:ascii="宋体" w:hAnsi="宋体"/>
                <w:color w:val="0000FF"/>
                <w:sz w:val="24"/>
              </w:rPr>
              <w:t>*</w:t>
            </w:r>
            <w:r>
              <w:rPr>
                <w:rFonts w:hint="eastAsia"/>
                <w:color w:val="0000FF"/>
                <w:sz w:val="24"/>
              </w:rPr>
              <w:t>（V</w:t>
            </w:r>
            <w:r>
              <w:rPr>
                <w:color w:val="0000FF"/>
                <w:sz w:val="24"/>
              </w:rPr>
              <w:t>/5</w:t>
            </w:r>
            <w:r>
              <w:rPr>
                <w:rFonts w:hint="eastAsia"/>
                <w:color w:val="0000FF"/>
                <w:sz w:val="24"/>
              </w:rPr>
              <w:t>）</w:t>
            </w:r>
            <w:r>
              <w:rPr>
                <w:rFonts w:hint="eastAsia" w:ascii="宋体" w:hAnsi="宋体"/>
                <w:color w:val="0000FF"/>
                <w:sz w:val="24"/>
              </w:rPr>
              <w:t>*</w:t>
            </w:r>
            <w:r>
              <w:rPr>
                <w:rFonts w:hint="eastAsia"/>
                <w:color w:val="0000FF"/>
                <w:sz w:val="24"/>
              </w:rPr>
              <w:t>（W</w:t>
            </w:r>
            <w:r>
              <w:rPr>
                <w:color w:val="0000FF"/>
                <w:sz w:val="24"/>
              </w:rPr>
              <w:t>/6.8</w:t>
            </w:r>
            <w:r>
              <w:rPr>
                <w:rFonts w:hint="eastAsia"/>
                <w:color w:val="0000FF"/>
                <w:sz w:val="24"/>
              </w:rPr>
              <w:t>）</w:t>
            </w:r>
            <w:r>
              <w:rPr>
                <w:rFonts w:hint="eastAsia"/>
                <w:color w:val="0000FF"/>
                <w:sz w:val="24"/>
                <w:vertAlign w:val="superscript"/>
              </w:rPr>
              <w:t>0</w:t>
            </w:r>
            <w:r>
              <w:rPr>
                <w:color w:val="0000FF"/>
                <w:sz w:val="24"/>
                <w:vertAlign w:val="superscript"/>
              </w:rPr>
              <w:t>.85</w:t>
            </w:r>
            <w:r>
              <w:rPr>
                <w:rFonts w:hint="eastAsia"/>
                <w:color w:val="0000FF"/>
                <w:sz w:val="24"/>
              </w:rPr>
              <w:t>（P</w:t>
            </w:r>
            <w:r>
              <w:rPr>
                <w:color w:val="0000FF"/>
                <w:sz w:val="24"/>
              </w:rPr>
              <w:t>/0.5</w:t>
            </w:r>
            <w:r>
              <w:rPr>
                <w:rFonts w:hint="eastAsia"/>
                <w:color w:val="0000FF"/>
                <w:sz w:val="24"/>
              </w:rPr>
              <w:t>）</w:t>
            </w:r>
            <w:r>
              <w:rPr>
                <w:rFonts w:hint="eastAsia"/>
                <w:color w:val="0000FF"/>
                <w:sz w:val="24"/>
                <w:vertAlign w:val="superscript"/>
              </w:rPr>
              <w:t>0</w:t>
            </w:r>
            <w:r>
              <w:rPr>
                <w:color w:val="0000FF"/>
                <w:sz w:val="24"/>
                <w:vertAlign w:val="superscript"/>
              </w:rPr>
              <w:t>.75</w:t>
            </w:r>
          </w:p>
          <w:p>
            <w:pPr>
              <w:spacing w:line="360" w:lineRule="auto"/>
              <w:ind w:firstLine="480" w:firstLineChars="200"/>
              <w:rPr>
                <w:color w:val="0000FF"/>
                <w:sz w:val="24"/>
              </w:rPr>
            </w:pPr>
            <w:r>
              <w:rPr>
                <w:rFonts w:hint="eastAsia"/>
                <w:color w:val="0000FF"/>
                <w:sz w:val="24"/>
              </w:rPr>
              <w:t>式中：Q—汽车行驶时的扬尘，kg</w:t>
            </w:r>
            <w:r>
              <w:rPr>
                <w:color w:val="0000FF"/>
                <w:sz w:val="24"/>
              </w:rPr>
              <w:t>/</w:t>
            </w:r>
            <w:r>
              <w:rPr>
                <w:rFonts w:hint="eastAsia"/>
                <w:color w:val="0000FF"/>
                <w:sz w:val="24"/>
              </w:rPr>
              <w:t>km·辆</w:t>
            </w:r>
          </w:p>
          <w:p>
            <w:pPr>
              <w:spacing w:line="360" w:lineRule="auto"/>
              <w:ind w:firstLine="1200" w:firstLineChars="500"/>
              <w:rPr>
                <w:color w:val="0000FF"/>
                <w:sz w:val="24"/>
              </w:rPr>
            </w:pPr>
            <w:r>
              <w:rPr>
                <w:rFonts w:hint="eastAsia"/>
                <w:color w:val="0000FF"/>
                <w:sz w:val="24"/>
              </w:rPr>
              <w:t>V—汽车速度，km</w:t>
            </w:r>
            <w:r>
              <w:rPr>
                <w:color w:val="0000FF"/>
                <w:sz w:val="24"/>
              </w:rPr>
              <w:t>/</w:t>
            </w:r>
            <w:r>
              <w:rPr>
                <w:rFonts w:hint="eastAsia"/>
                <w:color w:val="0000FF"/>
                <w:sz w:val="24"/>
              </w:rPr>
              <w:t>h</w:t>
            </w:r>
          </w:p>
          <w:p>
            <w:pPr>
              <w:spacing w:line="360" w:lineRule="auto"/>
              <w:ind w:firstLine="1200" w:firstLineChars="500"/>
              <w:rPr>
                <w:color w:val="0000FF"/>
                <w:sz w:val="24"/>
              </w:rPr>
            </w:pPr>
            <w:r>
              <w:rPr>
                <w:rFonts w:hint="eastAsia"/>
                <w:color w:val="0000FF"/>
                <w:sz w:val="24"/>
              </w:rPr>
              <w:t>W—汽车载重量，吨</w:t>
            </w:r>
          </w:p>
          <w:p>
            <w:pPr>
              <w:spacing w:line="360" w:lineRule="auto"/>
              <w:ind w:firstLine="1200" w:firstLineChars="500"/>
              <w:rPr>
                <w:color w:val="0000FF"/>
                <w:sz w:val="24"/>
              </w:rPr>
            </w:pPr>
            <w:r>
              <w:rPr>
                <w:rFonts w:hint="eastAsia"/>
                <w:color w:val="0000FF"/>
                <w:sz w:val="24"/>
              </w:rPr>
              <w:t>P—道路表面粉尘量，kg</w:t>
            </w:r>
            <w:r>
              <w:rPr>
                <w:color w:val="0000FF"/>
                <w:sz w:val="24"/>
              </w:rPr>
              <w:t>/</w:t>
            </w:r>
            <w:r>
              <w:rPr>
                <w:rFonts w:hint="eastAsia"/>
                <w:color w:val="0000FF"/>
                <w:sz w:val="24"/>
              </w:rPr>
              <w:t>㎡</w:t>
            </w:r>
          </w:p>
          <w:p>
            <w:pPr>
              <w:spacing w:line="360" w:lineRule="auto"/>
              <w:ind w:firstLine="480" w:firstLineChars="200"/>
              <w:rPr>
                <w:color w:val="0000FF"/>
                <w:sz w:val="24"/>
              </w:rPr>
            </w:pPr>
            <w:r>
              <w:rPr>
                <w:rFonts w:hint="eastAsia"/>
                <w:color w:val="0000FF"/>
                <w:sz w:val="24"/>
              </w:rPr>
              <w:t>根据项目特点，运营期运输扬尘计算参数及计算结果如下：</w:t>
            </w:r>
          </w:p>
          <w:p>
            <w:pPr>
              <w:jc w:val="center"/>
              <w:rPr>
                <w:b/>
                <w:color w:val="0000FF"/>
                <w:sz w:val="24"/>
              </w:rPr>
            </w:pPr>
            <w:r>
              <w:rPr>
                <w:rFonts w:hint="eastAsia"/>
                <w:b/>
                <w:color w:val="0000FF"/>
                <w:sz w:val="24"/>
              </w:rPr>
              <w:t>表</w:t>
            </w:r>
            <w:r>
              <w:rPr>
                <w:b/>
                <w:color w:val="0000FF"/>
                <w:sz w:val="24"/>
              </w:rPr>
              <w:t xml:space="preserve">4.6-1  </w:t>
            </w:r>
            <w:r>
              <w:rPr>
                <w:rFonts w:hint="eastAsia"/>
                <w:b/>
                <w:color w:val="0000FF"/>
                <w:sz w:val="24"/>
              </w:rPr>
              <w:t>运输扬尘计算参数及计算结果一览表</w:t>
            </w:r>
          </w:p>
          <w:tbl>
            <w:tblPr>
              <w:tblStyle w:val="3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51"/>
              <w:gridCol w:w="1277"/>
              <w:gridCol w:w="902"/>
              <w:gridCol w:w="1146"/>
              <w:gridCol w:w="1265"/>
              <w:gridCol w:w="1738"/>
              <w:gridCol w:w="16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66" w:type="pct"/>
                  <w:vAlign w:val="center"/>
                </w:tcPr>
                <w:p>
                  <w:pPr>
                    <w:jc w:val="center"/>
                    <w:rPr>
                      <w:b/>
                      <w:color w:val="0000FF"/>
                      <w:szCs w:val="21"/>
                    </w:rPr>
                  </w:pPr>
                  <w:r>
                    <w:rPr>
                      <w:b/>
                      <w:color w:val="0000FF"/>
                      <w:szCs w:val="21"/>
                    </w:rPr>
                    <w:t>项目</w:t>
                  </w:r>
                </w:p>
              </w:tc>
              <w:tc>
                <w:tcPr>
                  <w:tcW w:w="753" w:type="pct"/>
                  <w:vAlign w:val="center"/>
                </w:tcPr>
                <w:p>
                  <w:pPr>
                    <w:jc w:val="center"/>
                    <w:rPr>
                      <w:b/>
                      <w:color w:val="0000FF"/>
                      <w:szCs w:val="21"/>
                    </w:rPr>
                  </w:pPr>
                  <w:r>
                    <w:rPr>
                      <w:b/>
                      <w:color w:val="0000FF"/>
                      <w:szCs w:val="21"/>
                    </w:rPr>
                    <w:t>V（km/h）</w:t>
                  </w:r>
                </w:p>
              </w:tc>
              <w:tc>
                <w:tcPr>
                  <w:tcW w:w="532" w:type="pct"/>
                  <w:vAlign w:val="center"/>
                </w:tcPr>
                <w:p>
                  <w:pPr>
                    <w:jc w:val="center"/>
                    <w:rPr>
                      <w:b/>
                      <w:color w:val="0000FF"/>
                      <w:szCs w:val="21"/>
                    </w:rPr>
                  </w:pPr>
                  <w:r>
                    <w:rPr>
                      <w:b/>
                      <w:color w:val="0000FF"/>
                      <w:szCs w:val="21"/>
                    </w:rPr>
                    <w:t>W（t）</w:t>
                  </w:r>
                </w:p>
              </w:tc>
              <w:tc>
                <w:tcPr>
                  <w:tcW w:w="676" w:type="pct"/>
                  <w:vAlign w:val="center"/>
                </w:tcPr>
                <w:p>
                  <w:pPr>
                    <w:jc w:val="center"/>
                    <w:rPr>
                      <w:b/>
                      <w:color w:val="0000FF"/>
                      <w:szCs w:val="21"/>
                    </w:rPr>
                  </w:pPr>
                  <w:r>
                    <w:rPr>
                      <w:b/>
                      <w:color w:val="0000FF"/>
                      <w:szCs w:val="21"/>
                    </w:rPr>
                    <w:t>P（kg/㎡）</w:t>
                  </w:r>
                </w:p>
              </w:tc>
              <w:tc>
                <w:tcPr>
                  <w:tcW w:w="746" w:type="pct"/>
                  <w:vAlign w:val="center"/>
                </w:tcPr>
                <w:p>
                  <w:pPr>
                    <w:jc w:val="center"/>
                    <w:rPr>
                      <w:b/>
                      <w:color w:val="0000FF"/>
                      <w:szCs w:val="21"/>
                    </w:rPr>
                  </w:pPr>
                  <w:r>
                    <w:rPr>
                      <w:b/>
                      <w:color w:val="0000FF"/>
                      <w:szCs w:val="21"/>
                    </w:rPr>
                    <w:t>车次</w:t>
                  </w:r>
                </w:p>
                <w:p>
                  <w:pPr>
                    <w:jc w:val="center"/>
                    <w:rPr>
                      <w:b/>
                      <w:color w:val="0000FF"/>
                      <w:szCs w:val="21"/>
                    </w:rPr>
                  </w:pPr>
                  <w:r>
                    <w:rPr>
                      <w:rFonts w:hint="eastAsia"/>
                      <w:b/>
                      <w:color w:val="0000FF"/>
                      <w:szCs w:val="21"/>
                    </w:rPr>
                    <w:t>（次/d）</w:t>
                  </w:r>
                </w:p>
              </w:tc>
              <w:tc>
                <w:tcPr>
                  <w:tcW w:w="1025" w:type="pct"/>
                  <w:vAlign w:val="center"/>
                </w:tcPr>
                <w:p>
                  <w:pPr>
                    <w:jc w:val="center"/>
                    <w:rPr>
                      <w:b/>
                      <w:color w:val="0000FF"/>
                      <w:szCs w:val="21"/>
                    </w:rPr>
                  </w:pPr>
                  <w:r>
                    <w:rPr>
                      <w:rFonts w:hint="eastAsia"/>
                      <w:b/>
                      <w:color w:val="0000FF"/>
                      <w:szCs w:val="21"/>
                    </w:rPr>
                    <w:t>行程（km·次）</w:t>
                  </w:r>
                </w:p>
              </w:tc>
              <w:tc>
                <w:tcPr>
                  <w:tcW w:w="1000" w:type="pct"/>
                  <w:vAlign w:val="center"/>
                </w:tcPr>
                <w:p>
                  <w:pPr>
                    <w:jc w:val="center"/>
                    <w:rPr>
                      <w:b/>
                      <w:color w:val="0000FF"/>
                      <w:szCs w:val="21"/>
                    </w:rPr>
                  </w:pPr>
                  <w:r>
                    <w:rPr>
                      <w:b/>
                      <w:color w:val="0000FF"/>
                      <w:szCs w:val="21"/>
                    </w:rPr>
                    <w:t>Q（kg/km·辆）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66" w:type="pct"/>
                  <w:vAlign w:val="center"/>
                </w:tcPr>
                <w:p>
                  <w:pPr>
                    <w:jc w:val="center"/>
                    <w:rPr>
                      <w:color w:val="0000FF"/>
                      <w:szCs w:val="21"/>
                    </w:rPr>
                  </w:pPr>
                  <w:r>
                    <w:rPr>
                      <w:color w:val="0000FF"/>
                      <w:szCs w:val="21"/>
                    </w:rPr>
                    <w:t>空车</w:t>
                  </w:r>
                </w:p>
              </w:tc>
              <w:tc>
                <w:tcPr>
                  <w:tcW w:w="753" w:type="pct"/>
                  <w:vAlign w:val="center"/>
                </w:tcPr>
                <w:p>
                  <w:pPr>
                    <w:jc w:val="center"/>
                    <w:rPr>
                      <w:color w:val="0000FF"/>
                      <w:szCs w:val="21"/>
                    </w:rPr>
                  </w:pPr>
                  <w:r>
                    <w:rPr>
                      <w:color w:val="0000FF"/>
                      <w:szCs w:val="21"/>
                    </w:rPr>
                    <w:t>30</w:t>
                  </w:r>
                </w:p>
              </w:tc>
              <w:tc>
                <w:tcPr>
                  <w:tcW w:w="532" w:type="pct"/>
                  <w:vAlign w:val="center"/>
                </w:tcPr>
                <w:p>
                  <w:pPr>
                    <w:jc w:val="center"/>
                    <w:rPr>
                      <w:color w:val="0000FF"/>
                      <w:szCs w:val="21"/>
                    </w:rPr>
                  </w:pPr>
                  <w:r>
                    <w:rPr>
                      <w:color w:val="0000FF"/>
                      <w:szCs w:val="21"/>
                    </w:rPr>
                    <w:t>5</w:t>
                  </w:r>
                </w:p>
              </w:tc>
              <w:tc>
                <w:tcPr>
                  <w:tcW w:w="676" w:type="pct"/>
                  <w:vAlign w:val="center"/>
                </w:tcPr>
                <w:p>
                  <w:pPr>
                    <w:jc w:val="center"/>
                    <w:rPr>
                      <w:color w:val="0000FF"/>
                      <w:szCs w:val="21"/>
                    </w:rPr>
                  </w:pPr>
                  <w:r>
                    <w:rPr>
                      <w:color w:val="0000FF"/>
                      <w:szCs w:val="21"/>
                    </w:rPr>
                    <w:t>0.5</w:t>
                  </w:r>
                </w:p>
              </w:tc>
              <w:tc>
                <w:tcPr>
                  <w:tcW w:w="746" w:type="pct"/>
                  <w:vAlign w:val="center"/>
                </w:tcPr>
                <w:p>
                  <w:pPr>
                    <w:jc w:val="center"/>
                    <w:rPr>
                      <w:color w:val="0000FF"/>
                      <w:szCs w:val="21"/>
                    </w:rPr>
                  </w:pPr>
                  <w:r>
                    <w:rPr>
                      <w:color w:val="0000FF"/>
                      <w:szCs w:val="21"/>
                    </w:rPr>
                    <w:t>8</w:t>
                  </w:r>
                </w:p>
              </w:tc>
              <w:tc>
                <w:tcPr>
                  <w:tcW w:w="1025" w:type="pct"/>
                  <w:vAlign w:val="center"/>
                </w:tcPr>
                <w:p>
                  <w:pPr>
                    <w:jc w:val="center"/>
                    <w:rPr>
                      <w:color w:val="0000FF"/>
                      <w:szCs w:val="21"/>
                    </w:rPr>
                  </w:pPr>
                  <w:r>
                    <w:rPr>
                      <w:rFonts w:hint="eastAsia"/>
                      <w:color w:val="0000FF"/>
                      <w:szCs w:val="21"/>
                    </w:rPr>
                    <w:t>0</w:t>
                  </w:r>
                  <w:r>
                    <w:rPr>
                      <w:color w:val="0000FF"/>
                      <w:szCs w:val="21"/>
                    </w:rPr>
                    <w:t>.2</w:t>
                  </w:r>
                </w:p>
              </w:tc>
              <w:tc>
                <w:tcPr>
                  <w:tcW w:w="1000" w:type="pct"/>
                  <w:vAlign w:val="center"/>
                </w:tcPr>
                <w:p>
                  <w:pPr>
                    <w:jc w:val="center"/>
                    <w:rPr>
                      <w:color w:val="0000FF"/>
                      <w:szCs w:val="21"/>
                    </w:rPr>
                  </w:pPr>
                  <w:r>
                    <w:rPr>
                      <w:rFonts w:hint="eastAsia"/>
                      <w:color w:val="0000FF"/>
                      <w:szCs w:val="21"/>
                    </w:rPr>
                    <w:t>0</w:t>
                  </w:r>
                  <w:r>
                    <w:rPr>
                      <w:color w:val="0000FF"/>
                      <w:szCs w:val="21"/>
                    </w:rPr>
                    <w:t>.426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66" w:type="pct"/>
                  <w:vAlign w:val="center"/>
                </w:tcPr>
                <w:p>
                  <w:pPr>
                    <w:jc w:val="center"/>
                    <w:rPr>
                      <w:color w:val="0000FF"/>
                      <w:szCs w:val="21"/>
                    </w:rPr>
                  </w:pPr>
                  <w:r>
                    <w:rPr>
                      <w:color w:val="0000FF"/>
                      <w:szCs w:val="21"/>
                    </w:rPr>
                    <w:t>重车</w:t>
                  </w:r>
                </w:p>
              </w:tc>
              <w:tc>
                <w:tcPr>
                  <w:tcW w:w="753" w:type="pct"/>
                  <w:vAlign w:val="center"/>
                </w:tcPr>
                <w:p>
                  <w:pPr>
                    <w:jc w:val="center"/>
                    <w:rPr>
                      <w:color w:val="0000FF"/>
                      <w:szCs w:val="21"/>
                    </w:rPr>
                  </w:pPr>
                  <w:r>
                    <w:rPr>
                      <w:color w:val="0000FF"/>
                      <w:szCs w:val="21"/>
                    </w:rPr>
                    <w:t>20</w:t>
                  </w:r>
                </w:p>
              </w:tc>
              <w:tc>
                <w:tcPr>
                  <w:tcW w:w="532" w:type="pct"/>
                  <w:vAlign w:val="center"/>
                </w:tcPr>
                <w:p>
                  <w:pPr>
                    <w:jc w:val="center"/>
                    <w:rPr>
                      <w:color w:val="0000FF"/>
                      <w:szCs w:val="21"/>
                    </w:rPr>
                  </w:pPr>
                  <w:r>
                    <w:rPr>
                      <w:color w:val="0000FF"/>
                      <w:szCs w:val="21"/>
                    </w:rPr>
                    <w:t>30</w:t>
                  </w:r>
                </w:p>
              </w:tc>
              <w:tc>
                <w:tcPr>
                  <w:tcW w:w="676" w:type="pct"/>
                  <w:vAlign w:val="center"/>
                </w:tcPr>
                <w:p>
                  <w:pPr>
                    <w:jc w:val="center"/>
                    <w:rPr>
                      <w:color w:val="0000FF"/>
                      <w:szCs w:val="21"/>
                    </w:rPr>
                  </w:pPr>
                  <w:r>
                    <w:rPr>
                      <w:color w:val="0000FF"/>
                      <w:szCs w:val="21"/>
                    </w:rPr>
                    <w:t>0.5</w:t>
                  </w:r>
                </w:p>
              </w:tc>
              <w:tc>
                <w:tcPr>
                  <w:tcW w:w="746" w:type="pct"/>
                  <w:vAlign w:val="center"/>
                </w:tcPr>
                <w:p>
                  <w:pPr>
                    <w:jc w:val="center"/>
                    <w:rPr>
                      <w:color w:val="0000FF"/>
                      <w:szCs w:val="21"/>
                    </w:rPr>
                  </w:pPr>
                  <w:r>
                    <w:rPr>
                      <w:color w:val="0000FF"/>
                      <w:szCs w:val="21"/>
                    </w:rPr>
                    <w:t>8</w:t>
                  </w:r>
                </w:p>
              </w:tc>
              <w:tc>
                <w:tcPr>
                  <w:tcW w:w="1025" w:type="pct"/>
                  <w:vAlign w:val="center"/>
                </w:tcPr>
                <w:p>
                  <w:pPr>
                    <w:jc w:val="center"/>
                    <w:rPr>
                      <w:color w:val="0000FF"/>
                      <w:szCs w:val="21"/>
                    </w:rPr>
                  </w:pPr>
                  <w:r>
                    <w:rPr>
                      <w:rFonts w:hint="eastAsia"/>
                      <w:color w:val="0000FF"/>
                      <w:szCs w:val="21"/>
                    </w:rPr>
                    <w:t>0</w:t>
                  </w:r>
                  <w:r>
                    <w:rPr>
                      <w:color w:val="0000FF"/>
                      <w:szCs w:val="21"/>
                    </w:rPr>
                    <w:t>.2</w:t>
                  </w:r>
                </w:p>
              </w:tc>
              <w:tc>
                <w:tcPr>
                  <w:tcW w:w="1000" w:type="pct"/>
                  <w:vAlign w:val="center"/>
                </w:tcPr>
                <w:p>
                  <w:pPr>
                    <w:jc w:val="center"/>
                    <w:rPr>
                      <w:color w:val="0000FF"/>
                      <w:szCs w:val="21"/>
                    </w:rPr>
                  </w:pPr>
                  <w:r>
                    <w:rPr>
                      <w:rFonts w:hint="eastAsia"/>
                      <w:color w:val="0000FF"/>
                      <w:szCs w:val="21"/>
                    </w:rPr>
                    <w:t>1</w:t>
                  </w:r>
                  <w:r>
                    <w:rPr>
                      <w:color w:val="0000FF"/>
                      <w:szCs w:val="21"/>
                    </w:rPr>
                    <w:t>.303</w:t>
                  </w:r>
                </w:p>
              </w:tc>
            </w:tr>
          </w:tbl>
          <w:p>
            <w:pPr>
              <w:spacing w:line="360" w:lineRule="auto"/>
              <w:ind w:firstLine="480" w:firstLineChars="200"/>
              <w:rPr>
                <w:color w:val="0000FF"/>
                <w:sz w:val="24"/>
              </w:rPr>
            </w:pPr>
            <w:r>
              <w:rPr>
                <w:rFonts w:hint="eastAsia"/>
                <w:color w:val="0000FF"/>
                <w:sz w:val="24"/>
              </w:rPr>
              <w:t>根据上表计算，项目运营期扬尘产生量约2</w:t>
            </w:r>
            <w:r>
              <w:rPr>
                <w:color w:val="0000FF"/>
                <w:sz w:val="24"/>
              </w:rPr>
              <w:t>.766</w:t>
            </w:r>
            <w:r>
              <w:rPr>
                <w:rFonts w:hint="eastAsia"/>
                <w:color w:val="0000FF"/>
                <w:sz w:val="24"/>
              </w:rPr>
              <w:t>kg</w:t>
            </w:r>
            <w:r>
              <w:rPr>
                <w:color w:val="0000FF"/>
                <w:sz w:val="24"/>
              </w:rPr>
              <w:t>/</w:t>
            </w:r>
            <w:r>
              <w:rPr>
                <w:rFonts w:hint="eastAsia"/>
                <w:color w:val="0000FF"/>
                <w:sz w:val="24"/>
              </w:rPr>
              <w:t>d，0</w:t>
            </w:r>
            <w:r>
              <w:rPr>
                <w:color w:val="0000FF"/>
                <w:sz w:val="24"/>
              </w:rPr>
              <w:t>.823</w:t>
            </w:r>
            <w:r>
              <w:rPr>
                <w:rFonts w:hint="eastAsia"/>
                <w:color w:val="0000FF"/>
                <w:sz w:val="24"/>
              </w:rPr>
              <w:t>t/a。项目建设车辆清洁池1口对进出车辆轮胎进行冲洗，配置</w:t>
            </w:r>
            <w:r>
              <w:rPr>
                <w:color w:val="0000FF"/>
                <w:sz w:val="24"/>
              </w:rPr>
              <w:t>1</w:t>
            </w:r>
            <w:r>
              <w:rPr>
                <w:rFonts w:hint="eastAsia"/>
                <w:color w:val="0000FF"/>
                <w:sz w:val="24"/>
              </w:rPr>
              <w:t>台移动式雾炮机对厂区运输扬尘进行雾化降尘。上述措施对运输扬尘的控制效率按</w:t>
            </w:r>
            <w:r>
              <w:rPr>
                <w:color w:val="0000FF"/>
                <w:sz w:val="24"/>
              </w:rPr>
              <w:t>60%</w:t>
            </w:r>
            <w:r>
              <w:rPr>
                <w:rFonts w:hint="eastAsia"/>
                <w:color w:val="0000FF"/>
                <w:sz w:val="24"/>
              </w:rPr>
              <w:t>计，则采取可靠有效的粉尘控制措施后，本项目运输扬尘排放量约</w:t>
            </w:r>
            <w:r>
              <w:rPr>
                <w:color w:val="0000FF"/>
                <w:sz w:val="24"/>
              </w:rPr>
              <w:t>0.329</w:t>
            </w:r>
            <w:r>
              <w:rPr>
                <w:rFonts w:hint="eastAsia"/>
                <w:color w:val="0000FF"/>
                <w:sz w:val="24"/>
              </w:rPr>
              <w:t>t/a，</w:t>
            </w:r>
            <w:r>
              <w:rPr>
                <w:color w:val="0000FF"/>
                <w:sz w:val="24"/>
              </w:rPr>
              <w:t>1.106</w:t>
            </w:r>
            <w:r>
              <w:rPr>
                <w:rFonts w:hint="eastAsia"/>
                <w:color w:val="0000FF"/>
                <w:sz w:val="24"/>
              </w:rPr>
              <w:t>kg</w:t>
            </w:r>
            <w:r>
              <w:rPr>
                <w:color w:val="0000FF"/>
                <w:sz w:val="24"/>
              </w:rPr>
              <w:t>/</w:t>
            </w:r>
            <w:r>
              <w:rPr>
                <w:rFonts w:hint="eastAsia"/>
                <w:color w:val="0000FF"/>
                <w:sz w:val="24"/>
              </w:rPr>
              <w:t>d，</w:t>
            </w:r>
            <w:r>
              <w:rPr>
                <w:color w:val="0000FF"/>
                <w:sz w:val="24"/>
              </w:rPr>
              <w:t>0.138</w:t>
            </w:r>
            <w:r>
              <w:rPr>
                <w:rFonts w:hint="eastAsia"/>
                <w:color w:val="0000FF"/>
                <w:sz w:val="24"/>
              </w:rPr>
              <w:t>kg</w:t>
            </w:r>
            <w:r>
              <w:rPr>
                <w:color w:val="0000FF"/>
                <w:sz w:val="24"/>
              </w:rPr>
              <w:t>/</w:t>
            </w:r>
            <w:r>
              <w:rPr>
                <w:rFonts w:hint="eastAsia"/>
                <w:color w:val="0000FF"/>
                <w:sz w:val="24"/>
              </w:rPr>
              <w:t>h。</w:t>
            </w:r>
          </w:p>
          <w:p>
            <w:pPr>
              <w:spacing w:line="360" w:lineRule="auto"/>
              <w:ind w:firstLine="481" w:firstLineChars="200"/>
              <w:rPr>
                <w:b/>
                <w:color w:val="0000FF"/>
                <w:sz w:val="24"/>
              </w:rPr>
            </w:pPr>
            <w:r>
              <w:rPr>
                <w:rFonts w:hint="eastAsia"/>
                <w:b/>
                <w:color w:val="0000FF"/>
                <w:sz w:val="24"/>
              </w:rPr>
              <w:t>（2）堆场扬尘</w:t>
            </w:r>
          </w:p>
          <w:p>
            <w:pPr>
              <w:spacing w:line="360" w:lineRule="auto"/>
              <w:ind w:firstLine="480" w:firstLineChars="200"/>
              <w:rPr>
                <w:color w:val="0000FF"/>
                <w:sz w:val="24"/>
              </w:rPr>
            </w:pPr>
            <w:r>
              <w:rPr>
                <w:rFonts w:hint="eastAsia"/>
                <w:color w:val="0000FF"/>
                <w:sz w:val="24"/>
              </w:rPr>
              <w:t>本项目设置1</w:t>
            </w:r>
            <w:r>
              <w:rPr>
                <w:color w:val="0000FF"/>
                <w:sz w:val="24"/>
              </w:rPr>
              <w:t>00</w:t>
            </w:r>
            <w:r>
              <w:rPr>
                <w:rFonts w:hint="eastAsia"/>
                <w:color w:val="0000FF"/>
                <w:sz w:val="24"/>
              </w:rPr>
              <w:t>㎡原料堆棚1</w:t>
            </w:r>
            <w:r>
              <w:rPr>
                <w:color w:val="0000FF"/>
                <w:sz w:val="24"/>
              </w:rPr>
              <w:t>座，</w:t>
            </w:r>
            <w:r>
              <w:rPr>
                <w:rFonts w:hint="eastAsia"/>
                <w:color w:val="0000FF"/>
                <w:sz w:val="24"/>
              </w:rPr>
              <w:t>2</w:t>
            </w:r>
            <w:r>
              <w:rPr>
                <w:color w:val="0000FF"/>
                <w:sz w:val="24"/>
              </w:rPr>
              <w:t>00㎡成品堆棚</w:t>
            </w:r>
            <w:r>
              <w:rPr>
                <w:rFonts w:hint="eastAsia"/>
                <w:color w:val="0000FF"/>
                <w:sz w:val="24"/>
              </w:rPr>
              <w:t>1</w:t>
            </w:r>
            <w:r>
              <w:rPr>
                <w:color w:val="0000FF"/>
                <w:sz w:val="24"/>
              </w:rPr>
              <w:t>座，运营期堆场会有一定扬尘产生及排放。</w:t>
            </w:r>
            <w:r>
              <w:rPr>
                <w:rFonts w:hint="eastAsia"/>
                <w:color w:val="0000FF"/>
                <w:sz w:val="24"/>
              </w:rPr>
              <w:t>工业企业固体物料堆存颗粒物包括装卸场尘和风蚀扬尘，根据《排放源统计调查产排污核算方法和系数手册-固体物料堆存颗粒物产排污核算系数手册》，堆场扬尘产生量核算公式如下：</w:t>
            </w:r>
          </w:p>
          <w:p>
            <w:pPr>
              <w:spacing w:line="360" w:lineRule="auto"/>
              <w:jc w:val="center"/>
              <w:rPr>
                <w:color w:val="0000FF"/>
                <w:szCs w:val="21"/>
              </w:rPr>
            </w:pPr>
            <w:r>
              <w:rPr>
                <w:color w:val="0000FF"/>
              </w:rPr>
              <w:drawing>
                <wp:inline distT="0" distB="0" distL="0" distR="0">
                  <wp:extent cx="3796030" cy="25527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796030" cy="255270"/>
                          </a:xfrm>
                          <a:prstGeom prst="rect">
                            <a:avLst/>
                          </a:prstGeom>
                          <a:noFill/>
                          <a:ln>
                            <a:noFill/>
                          </a:ln>
                        </pic:spPr>
                      </pic:pic>
                    </a:graphicData>
                  </a:graphic>
                </wp:inline>
              </w:drawing>
            </w:r>
          </w:p>
          <w:p>
            <w:pPr>
              <w:pStyle w:val="24"/>
              <w:spacing w:line="360" w:lineRule="auto"/>
              <w:ind w:firstLine="480" w:firstLineChars="200"/>
              <w:rPr>
                <w:color w:val="0000FF"/>
                <w:sz w:val="24"/>
              </w:rPr>
            </w:pPr>
            <w:r>
              <w:rPr>
                <w:rFonts w:hint="eastAsia"/>
                <w:color w:val="0000FF"/>
                <w:sz w:val="24"/>
              </w:rPr>
              <w:t>式中：P 指颗粒物产生量（单位：吨）；</w:t>
            </w:r>
          </w:p>
          <w:p>
            <w:pPr>
              <w:pStyle w:val="24"/>
              <w:spacing w:line="360" w:lineRule="auto"/>
              <w:ind w:firstLine="1200" w:firstLineChars="500"/>
              <w:rPr>
                <w:color w:val="0000FF"/>
                <w:sz w:val="24"/>
              </w:rPr>
            </w:pPr>
            <w:r>
              <w:rPr>
                <w:rFonts w:hint="eastAsia"/>
                <w:color w:val="0000FF"/>
                <w:sz w:val="24"/>
              </w:rPr>
              <w:t>Z</w:t>
            </w:r>
            <w:r>
              <w:rPr>
                <w:rFonts w:hint="eastAsia"/>
                <w:color w:val="0000FF"/>
                <w:sz w:val="24"/>
                <w:vertAlign w:val="subscript"/>
              </w:rPr>
              <w:t>Cy</w:t>
            </w:r>
            <w:r>
              <w:rPr>
                <w:rFonts w:hint="eastAsia"/>
                <w:color w:val="0000FF"/>
                <w:sz w:val="24"/>
              </w:rPr>
              <w:t>指装卸扬尘产生量（单位：吨）；</w:t>
            </w:r>
          </w:p>
          <w:p>
            <w:pPr>
              <w:pStyle w:val="24"/>
              <w:spacing w:line="360" w:lineRule="auto"/>
              <w:ind w:firstLine="1200" w:firstLineChars="500"/>
              <w:rPr>
                <w:color w:val="0000FF"/>
                <w:sz w:val="24"/>
              </w:rPr>
            </w:pPr>
            <w:r>
              <w:rPr>
                <w:rFonts w:hint="eastAsia"/>
                <w:color w:val="0000FF"/>
                <w:sz w:val="24"/>
              </w:rPr>
              <w:t>F</w:t>
            </w:r>
            <w:r>
              <w:rPr>
                <w:rFonts w:hint="eastAsia"/>
                <w:color w:val="0000FF"/>
                <w:sz w:val="24"/>
                <w:vertAlign w:val="subscript"/>
              </w:rPr>
              <w:t>Cy</w:t>
            </w:r>
            <w:r>
              <w:rPr>
                <w:rFonts w:hint="eastAsia"/>
                <w:color w:val="0000FF"/>
                <w:sz w:val="24"/>
              </w:rPr>
              <w:t>指风蚀扬尘产生量（单位：吨）；</w:t>
            </w:r>
          </w:p>
          <w:p>
            <w:pPr>
              <w:pStyle w:val="24"/>
              <w:spacing w:line="360" w:lineRule="auto"/>
              <w:ind w:firstLine="1200" w:firstLineChars="500"/>
              <w:rPr>
                <w:color w:val="0000FF"/>
                <w:sz w:val="24"/>
              </w:rPr>
            </w:pPr>
            <w:r>
              <w:rPr>
                <w:rFonts w:hint="eastAsia"/>
                <w:color w:val="0000FF"/>
                <w:sz w:val="24"/>
              </w:rPr>
              <w:t>Nc指年物料运载车次（单位：车）；</w:t>
            </w:r>
          </w:p>
          <w:p>
            <w:pPr>
              <w:pStyle w:val="24"/>
              <w:spacing w:line="360" w:lineRule="auto"/>
              <w:ind w:firstLine="1200" w:firstLineChars="500"/>
              <w:rPr>
                <w:color w:val="0000FF"/>
                <w:sz w:val="24"/>
              </w:rPr>
            </w:pPr>
            <w:r>
              <w:rPr>
                <w:rFonts w:hint="eastAsia"/>
                <w:color w:val="0000FF"/>
                <w:sz w:val="24"/>
              </w:rPr>
              <w:t>D指单车平均运载量（单位：吨/车）；</w:t>
            </w:r>
          </w:p>
          <w:p>
            <w:pPr>
              <w:pStyle w:val="24"/>
              <w:spacing w:line="360" w:lineRule="auto"/>
              <w:ind w:firstLine="1200" w:firstLineChars="500"/>
              <w:rPr>
                <w:color w:val="0000FF"/>
                <w:sz w:val="24"/>
              </w:rPr>
            </w:pPr>
            <w:r>
              <w:rPr>
                <w:rFonts w:hint="eastAsia"/>
                <w:color w:val="0000FF"/>
                <w:sz w:val="24"/>
              </w:rPr>
              <w:t>(a/b指装卸扬尘概化系数（单位：千克/吨），a指各省风速概化系数，b指物料含水率概化系数；</w:t>
            </w:r>
          </w:p>
          <w:p>
            <w:pPr>
              <w:pStyle w:val="24"/>
              <w:spacing w:line="360" w:lineRule="auto"/>
              <w:ind w:firstLine="1200" w:firstLineChars="500"/>
              <w:rPr>
                <w:color w:val="0000FF"/>
                <w:sz w:val="24"/>
              </w:rPr>
            </w:pPr>
            <w:r>
              <w:rPr>
                <w:rFonts w:hint="eastAsia"/>
                <w:color w:val="0000FF"/>
                <w:sz w:val="24"/>
              </w:rPr>
              <w:t>E</w:t>
            </w:r>
            <w:r>
              <w:rPr>
                <w:rFonts w:hint="eastAsia"/>
                <w:color w:val="0000FF"/>
                <w:sz w:val="24"/>
                <w:vertAlign w:val="subscript"/>
              </w:rPr>
              <w:t>f</w:t>
            </w:r>
            <w:r>
              <w:rPr>
                <w:rFonts w:hint="eastAsia"/>
                <w:color w:val="0000FF"/>
                <w:sz w:val="24"/>
              </w:rPr>
              <w:t>指堆场风蚀扬尘概化系数（单位：千克/平方米）；</w:t>
            </w:r>
          </w:p>
          <w:p>
            <w:pPr>
              <w:pStyle w:val="24"/>
              <w:spacing w:line="360" w:lineRule="auto"/>
              <w:ind w:firstLine="1200" w:firstLineChars="500"/>
              <w:rPr>
                <w:color w:val="0000FF"/>
                <w:sz w:val="24"/>
              </w:rPr>
            </w:pPr>
            <w:r>
              <w:rPr>
                <w:rFonts w:hint="eastAsia"/>
                <w:color w:val="0000FF"/>
                <w:sz w:val="24"/>
              </w:rPr>
              <w:t>S指堆场占地面积（单位：平方米）。</w:t>
            </w:r>
          </w:p>
          <w:p>
            <w:pPr>
              <w:spacing w:line="360" w:lineRule="auto"/>
              <w:ind w:firstLine="480" w:firstLineChars="200"/>
              <w:rPr>
                <w:color w:val="0000FF"/>
                <w:sz w:val="24"/>
              </w:rPr>
            </w:pPr>
            <w:r>
              <w:rPr>
                <w:rFonts w:hint="eastAsia"/>
                <w:color w:val="0000FF"/>
                <w:sz w:val="24"/>
              </w:rPr>
              <w:t>根据工程特性及《排放源统计调查产排污核算方法和系数手册-固体物料堆存颗粒物产排污核算系数手册》中相关附表，确定本项目堆场计算参数选取如下：</w:t>
            </w:r>
          </w:p>
          <w:p>
            <w:pPr>
              <w:jc w:val="center"/>
              <w:rPr>
                <w:b/>
                <w:color w:val="0000FF"/>
                <w:sz w:val="24"/>
              </w:rPr>
            </w:pPr>
            <w:r>
              <w:rPr>
                <w:rFonts w:hint="eastAsia"/>
                <w:b/>
                <w:color w:val="0000FF"/>
                <w:sz w:val="24"/>
              </w:rPr>
              <w:t>表4</w:t>
            </w:r>
            <w:r>
              <w:rPr>
                <w:b/>
                <w:color w:val="0000FF"/>
                <w:sz w:val="24"/>
              </w:rPr>
              <w:t xml:space="preserve">.6-2  </w:t>
            </w:r>
            <w:r>
              <w:rPr>
                <w:rFonts w:hint="eastAsia"/>
                <w:b/>
                <w:color w:val="0000FF"/>
                <w:sz w:val="24"/>
              </w:rPr>
              <w:t>堆场扬尘计算参数选取结果一览表</w:t>
            </w:r>
          </w:p>
          <w:tbl>
            <w:tblPr>
              <w:tblStyle w:val="3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8"/>
              <w:gridCol w:w="1296"/>
              <w:gridCol w:w="925"/>
              <w:gridCol w:w="976"/>
              <w:gridCol w:w="976"/>
              <w:gridCol w:w="951"/>
              <w:gridCol w:w="976"/>
              <w:gridCol w:w="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2" w:type="pct"/>
                </w:tcPr>
                <w:p>
                  <w:pPr>
                    <w:pStyle w:val="24"/>
                    <w:pBdr>
                      <w:top w:val="none" w:color="auto" w:sz="0" w:space="0"/>
                      <w:left w:val="none" w:color="auto" w:sz="0" w:space="0"/>
                      <w:bottom w:val="none" w:color="auto" w:sz="0" w:space="0"/>
                      <w:right w:val="none" w:color="auto" w:sz="0" w:space="0"/>
                    </w:pBdr>
                    <w:jc w:val="center"/>
                    <w:rPr>
                      <w:b/>
                      <w:bCs/>
                      <w:color w:val="0000FF"/>
                      <w:sz w:val="21"/>
                      <w:szCs w:val="21"/>
                    </w:rPr>
                  </w:pPr>
                  <w:r>
                    <w:rPr>
                      <w:rFonts w:hint="eastAsia"/>
                      <w:b/>
                      <w:bCs/>
                      <w:color w:val="0000FF"/>
                      <w:sz w:val="21"/>
                      <w:szCs w:val="21"/>
                    </w:rPr>
                    <w:t>堆场名称</w:t>
                  </w:r>
                </w:p>
              </w:tc>
              <w:tc>
                <w:tcPr>
                  <w:tcW w:w="773" w:type="pct"/>
                </w:tcPr>
                <w:p>
                  <w:pPr>
                    <w:pStyle w:val="24"/>
                    <w:pBdr>
                      <w:top w:val="none" w:color="auto" w:sz="0" w:space="0"/>
                      <w:left w:val="none" w:color="auto" w:sz="0" w:space="0"/>
                      <w:bottom w:val="none" w:color="auto" w:sz="0" w:space="0"/>
                      <w:right w:val="none" w:color="auto" w:sz="0" w:space="0"/>
                    </w:pBdr>
                    <w:jc w:val="center"/>
                    <w:rPr>
                      <w:b/>
                      <w:bCs/>
                      <w:color w:val="0000FF"/>
                      <w:sz w:val="21"/>
                      <w:szCs w:val="21"/>
                    </w:rPr>
                  </w:pPr>
                  <w:r>
                    <w:rPr>
                      <w:rFonts w:hint="eastAsia"/>
                      <w:b/>
                      <w:bCs/>
                      <w:color w:val="0000FF"/>
                      <w:sz w:val="21"/>
                      <w:szCs w:val="21"/>
                    </w:rPr>
                    <w:t>Nc</w:t>
                  </w:r>
                </w:p>
              </w:tc>
              <w:tc>
                <w:tcPr>
                  <w:tcW w:w="554" w:type="pct"/>
                </w:tcPr>
                <w:p>
                  <w:pPr>
                    <w:pStyle w:val="24"/>
                    <w:pBdr>
                      <w:top w:val="none" w:color="auto" w:sz="0" w:space="0"/>
                      <w:left w:val="none" w:color="auto" w:sz="0" w:space="0"/>
                      <w:bottom w:val="none" w:color="auto" w:sz="0" w:space="0"/>
                      <w:right w:val="none" w:color="auto" w:sz="0" w:space="0"/>
                    </w:pBdr>
                    <w:jc w:val="center"/>
                    <w:rPr>
                      <w:b/>
                      <w:bCs/>
                      <w:color w:val="0000FF"/>
                      <w:sz w:val="21"/>
                      <w:szCs w:val="21"/>
                    </w:rPr>
                  </w:pPr>
                  <w:r>
                    <w:rPr>
                      <w:rFonts w:hint="eastAsia"/>
                      <w:b/>
                      <w:bCs/>
                      <w:color w:val="0000FF"/>
                      <w:sz w:val="21"/>
                      <w:szCs w:val="21"/>
                    </w:rPr>
                    <w:t>D</w:t>
                  </w:r>
                </w:p>
              </w:tc>
              <w:tc>
                <w:tcPr>
                  <w:tcW w:w="584" w:type="pct"/>
                </w:tcPr>
                <w:p>
                  <w:pPr>
                    <w:pStyle w:val="24"/>
                    <w:pBdr>
                      <w:top w:val="none" w:color="auto" w:sz="0" w:space="0"/>
                      <w:left w:val="none" w:color="auto" w:sz="0" w:space="0"/>
                      <w:bottom w:val="none" w:color="auto" w:sz="0" w:space="0"/>
                      <w:right w:val="none" w:color="auto" w:sz="0" w:space="0"/>
                    </w:pBdr>
                    <w:jc w:val="center"/>
                    <w:rPr>
                      <w:b/>
                      <w:bCs/>
                      <w:color w:val="0000FF"/>
                      <w:sz w:val="21"/>
                      <w:szCs w:val="21"/>
                    </w:rPr>
                  </w:pPr>
                  <w:r>
                    <w:rPr>
                      <w:rFonts w:hint="eastAsia"/>
                      <w:b/>
                      <w:bCs/>
                      <w:color w:val="0000FF"/>
                      <w:sz w:val="21"/>
                      <w:szCs w:val="21"/>
                    </w:rPr>
                    <w:t>a</w:t>
                  </w:r>
                </w:p>
              </w:tc>
              <w:tc>
                <w:tcPr>
                  <w:tcW w:w="584" w:type="pct"/>
                </w:tcPr>
                <w:p>
                  <w:pPr>
                    <w:pStyle w:val="24"/>
                    <w:pBdr>
                      <w:top w:val="none" w:color="auto" w:sz="0" w:space="0"/>
                      <w:left w:val="none" w:color="auto" w:sz="0" w:space="0"/>
                      <w:bottom w:val="none" w:color="auto" w:sz="0" w:space="0"/>
                      <w:right w:val="none" w:color="auto" w:sz="0" w:space="0"/>
                    </w:pBdr>
                    <w:jc w:val="center"/>
                    <w:rPr>
                      <w:b/>
                      <w:bCs/>
                      <w:color w:val="0000FF"/>
                      <w:sz w:val="21"/>
                      <w:szCs w:val="21"/>
                    </w:rPr>
                  </w:pPr>
                  <w:r>
                    <w:rPr>
                      <w:rFonts w:hint="eastAsia"/>
                      <w:b/>
                      <w:bCs/>
                      <w:color w:val="0000FF"/>
                      <w:sz w:val="21"/>
                      <w:szCs w:val="21"/>
                    </w:rPr>
                    <w:t>b</w:t>
                  </w:r>
                </w:p>
              </w:tc>
              <w:tc>
                <w:tcPr>
                  <w:tcW w:w="506" w:type="pct"/>
                </w:tcPr>
                <w:p>
                  <w:pPr>
                    <w:pStyle w:val="24"/>
                    <w:pBdr>
                      <w:top w:val="none" w:color="auto" w:sz="0" w:space="0"/>
                      <w:left w:val="none" w:color="auto" w:sz="0" w:space="0"/>
                      <w:bottom w:val="none" w:color="auto" w:sz="0" w:space="0"/>
                      <w:right w:val="none" w:color="auto" w:sz="0" w:space="0"/>
                    </w:pBdr>
                    <w:jc w:val="center"/>
                    <w:rPr>
                      <w:b/>
                      <w:bCs/>
                      <w:color w:val="0000FF"/>
                      <w:sz w:val="21"/>
                      <w:szCs w:val="21"/>
                    </w:rPr>
                  </w:pPr>
                  <w:r>
                    <w:rPr>
                      <w:rFonts w:hint="eastAsia"/>
                      <w:b/>
                      <w:bCs/>
                      <w:color w:val="0000FF"/>
                      <w:sz w:val="21"/>
                      <w:szCs w:val="21"/>
                    </w:rPr>
                    <w:t>a/b</w:t>
                  </w:r>
                </w:p>
              </w:tc>
              <w:tc>
                <w:tcPr>
                  <w:tcW w:w="584" w:type="pct"/>
                </w:tcPr>
                <w:p>
                  <w:pPr>
                    <w:pStyle w:val="24"/>
                    <w:pBdr>
                      <w:top w:val="none" w:color="auto" w:sz="0" w:space="0"/>
                      <w:left w:val="none" w:color="auto" w:sz="0" w:space="0"/>
                      <w:bottom w:val="none" w:color="auto" w:sz="0" w:space="0"/>
                      <w:right w:val="none" w:color="auto" w:sz="0" w:space="0"/>
                    </w:pBdr>
                    <w:jc w:val="center"/>
                    <w:rPr>
                      <w:b/>
                      <w:bCs/>
                      <w:color w:val="0000FF"/>
                      <w:sz w:val="21"/>
                      <w:szCs w:val="21"/>
                    </w:rPr>
                  </w:pPr>
                  <w:r>
                    <w:rPr>
                      <w:rFonts w:hint="eastAsia"/>
                      <w:b/>
                      <w:bCs/>
                      <w:color w:val="0000FF"/>
                      <w:sz w:val="21"/>
                      <w:szCs w:val="21"/>
                    </w:rPr>
                    <w:t>E</w:t>
                  </w:r>
                  <w:r>
                    <w:rPr>
                      <w:rFonts w:hint="eastAsia"/>
                      <w:b/>
                      <w:bCs/>
                      <w:color w:val="0000FF"/>
                      <w:sz w:val="21"/>
                      <w:szCs w:val="21"/>
                      <w:vertAlign w:val="subscript"/>
                    </w:rPr>
                    <w:t>f</w:t>
                  </w:r>
                </w:p>
              </w:tc>
              <w:tc>
                <w:tcPr>
                  <w:tcW w:w="593" w:type="pct"/>
                </w:tcPr>
                <w:p>
                  <w:pPr>
                    <w:pStyle w:val="24"/>
                    <w:pBdr>
                      <w:top w:val="none" w:color="auto" w:sz="0" w:space="0"/>
                      <w:left w:val="none" w:color="auto" w:sz="0" w:space="0"/>
                      <w:bottom w:val="none" w:color="auto" w:sz="0" w:space="0"/>
                      <w:right w:val="none" w:color="auto" w:sz="0" w:space="0"/>
                    </w:pBdr>
                    <w:jc w:val="center"/>
                    <w:rPr>
                      <w:b/>
                      <w:bCs/>
                      <w:color w:val="0000FF"/>
                      <w:sz w:val="21"/>
                      <w:szCs w:val="21"/>
                    </w:rPr>
                  </w:pPr>
                  <w:r>
                    <w:rPr>
                      <w:rFonts w:hint="eastAsia"/>
                      <w:b/>
                      <w:bCs/>
                      <w:color w:val="0000FF"/>
                      <w:sz w:val="21"/>
                      <w:szCs w:val="21"/>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2" w:type="pct"/>
                </w:tcPr>
                <w:p>
                  <w:pPr>
                    <w:pStyle w:val="24"/>
                    <w:pBdr>
                      <w:top w:val="none" w:color="auto" w:sz="0" w:space="0"/>
                      <w:left w:val="none" w:color="auto" w:sz="0" w:space="0"/>
                      <w:bottom w:val="none" w:color="auto" w:sz="0" w:space="0"/>
                      <w:right w:val="none" w:color="auto" w:sz="0" w:space="0"/>
                    </w:pBdr>
                    <w:jc w:val="center"/>
                    <w:rPr>
                      <w:b/>
                      <w:bCs/>
                      <w:color w:val="0000FF"/>
                      <w:sz w:val="21"/>
                      <w:szCs w:val="21"/>
                    </w:rPr>
                  </w:pPr>
                  <w:r>
                    <w:rPr>
                      <w:rFonts w:hint="eastAsia"/>
                      <w:b/>
                      <w:bCs/>
                      <w:color w:val="0000FF"/>
                      <w:sz w:val="21"/>
                      <w:szCs w:val="21"/>
                    </w:rPr>
                    <w:t>原料堆场</w:t>
                  </w:r>
                </w:p>
              </w:tc>
              <w:tc>
                <w:tcPr>
                  <w:tcW w:w="773" w:type="pct"/>
                </w:tcPr>
                <w:p>
                  <w:pPr>
                    <w:pStyle w:val="24"/>
                    <w:pBdr>
                      <w:top w:val="none" w:color="auto" w:sz="0" w:space="0"/>
                      <w:left w:val="none" w:color="auto" w:sz="0" w:space="0"/>
                      <w:bottom w:val="none" w:color="auto" w:sz="0" w:space="0"/>
                      <w:right w:val="none" w:color="auto" w:sz="0" w:space="0"/>
                    </w:pBdr>
                    <w:jc w:val="center"/>
                    <w:rPr>
                      <w:color w:val="0000FF"/>
                      <w:sz w:val="21"/>
                      <w:szCs w:val="21"/>
                    </w:rPr>
                  </w:pPr>
                  <w:r>
                    <w:rPr>
                      <w:color w:val="0000FF"/>
                      <w:sz w:val="21"/>
                      <w:szCs w:val="21"/>
                    </w:rPr>
                    <w:t>1000</w:t>
                  </w:r>
                </w:p>
              </w:tc>
              <w:tc>
                <w:tcPr>
                  <w:tcW w:w="554" w:type="pct"/>
                </w:tcPr>
                <w:p>
                  <w:pPr>
                    <w:pStyle w:val="24"/>
                    <w:pBdr>
                      <w:top w:val="none" w:color="auto" w:sz="0" w:space="0"/>
                      <w:left w:val="none" w:color="auto" w:sz="0" w:space="0"/>
                      <w:bottom w:val="none" w:color="auto" w:sz="0" w:space="0"/>
                      <w:right w:val="none" w:color="auto" w:sz="0" w:space="0"/>
                    </w:pBdr>
                    <w:jc w:val="center"/>
                    <w:rPr>
                      <w:color w:val="0000FF"/>
                      <w:sz w:val="21"/>
                      <w:szCs w:val="21"/>
                    </w:rPr>
                  </w:pPr>
                  <w:r>
                    <w:rPr>
                      <w:rFonts w:hint="eastAsia"/>
                      <w:color w:val="0000FF"/>
                      <w:sz w:val="21"/>
                      <w:szCs w:val="21"/>
                    </w:rPr>
                    <w:t>30</w:t>
                  </w:r>
                </w:p>
              </w:tc>
              <w:tc>
                <w:tcPr>
                  <w:tcW w:w="584" w:type="pct"/>
                </w:tcPr>
                <w:p>
                  <w:pPr>
                    <w:pStyle w:val="24"/>
                    <w:pBdr>
                      <w:top w:val="none" w:color="auto" w:sz="0" w:space="0"/>
                      <w:left w:val="none" w:color="auto" w:sz="0" w:space="0"/>
                      <w:bottom w:val="none" w:color="auto" w:sz="0" w:space="0"/>
                      <w:right w:val="none" w:color="auto" w:sz="0" w:space="0"/>
                    </w:pBdr>
                    <w:jc w:val="center"/>
                    <w:rPr>
                      <w:color w:val="0000FF"/>
                      <w:sz w:val="21"/>
                      <w:szCs w:val="21"/>
                    </w:rPr>
                  </w:pPr>
                  <w:r>
                    <w:rPr>
                      <w:rFonts w:hint="eastAsia"/>
                      <w:color w:val="0000FF"/>
                      <w:sz w:val="21"/>
                      <w:szCs w:val="21"/>
                    </w:rPr>
                    <w:t>0.0009</w:t>
                  </w:r>
                </w:p>
              </w:tc>
              <w:tc>
                <w:tcPr>
                  <w:tcW w:w="584" w:type="pct"/>
                </w:tcPr>
                <w:p>
                  <w:pPr>
                    <w:pStyle w:val="24"/>
                    <w:pBdr>
                      <w:top w:val="none" w:color="auto" w:sz="0" w:space="0"/>
                      <w:left w:val="none" w:color="auto" w:sz="0" w:space="0"/>
                      <w:bottom w:val="none" w:color="auto" w:sz="0" w:space="0"/>
                      <w:right w:val="none" w:color="auto" w:sz="0" w:space="0"/>
                    </w:pBdr>
                    <w:jc w:val="center"/>
                    <w:rPr>
                      <w:color w:val="0000FF"/>
                      <w:sz w:val="21"/>
                      <w:szCs w:val="21"/>
                    </w:rPr>
                  </w:pPr>
                  <w:r>
                    <w:rPr>
                      <w:color w:val="0000FF"/>
                      <w:sz w:val="21"/>
                      <w:szCs w:val="21"/>
                    </w:rPr>
                    <w:t>0.0084</w:t>
                  </w:r>
                </w:p>
              </w:tc>
              <w:tc>
                <w:tcPr>
                  <w:tcW w:w="506" w:type="pct"/>
                </w:tcPr>
                <w:p>
                  <w:pPr>
                    <w:pStyle w:val="24"/>
                    <w:pBdr>
                      <w:top w:val="none" w:color="auto" w:sz="0" w:space="0"/>
                      <w:left w:val="none" w:color="auto" w:sz="0" w:space="0"/>
                      <w:bottom w:val="none" w:color="auto" w:sz="0" w:space="0"/>
                      <w:right w:val="none" w:color="auto" w:sz="0" w:space="0"/>
                    </w:pBdr>
                    <w:jc w:val="center"/>
                    <w:rPr>
                      <w:color w:val="0000FF"/>
                      <w:sz w:val="21"/>
                      <w:szCs w:val="21"/>
                    </w:rPr>
                  </w:pPr>
                  <w:r>
                    <w:rPr>
                      <w:color w:val="0000FF"/>
                      <w:sz w:val="21"/>
                      <w:szCs w:val="21"/>
                    </w:rPr>
                    <w:t>0.1071</w:t>
                  </w:r>
                </w:p>
              </w:tc>
              <w:tc>
                <w:tcPr>
                  <w:tcW w:w="584" w:type="pct"/>
                </w:tcPr>
                <w:p>
                  <w:pPr>
                    <w:pStyle w:val="24"/>
                    <w:pBdr>
                      <w:top w:val="none" w:color="auto" w:sz="0" w:space="0"/>
                      <w:left w:val="none" w:color="auto" w:sz="0" w:space="0"/>
                      <w:bottom w:val="none" w:color="auto" w:sz="0" w:space="0"/>
                      <w:right w:val="none" w:color="auto" w:sz="0" w:space="0"/>
                    </w:pBdr>
                    <w:jc w:val="center"/>
                    <w:rPr>
                      <w:color w:val="0000FF"/>
                      <w:sz w:val="21"/>
                      <w:szCs w:val="21"/>
                    </w:rPr>
                  </w:pPr>
                  <w:r>
                    <w:rPr>
                      <w:color w:val="0000FF"/>
                      <w:sz w:val="21"/>
                      <w:szCs w:val="21"/>
                    </w:rPr>
                    <w:t>0</w:t>
                  </w:r>
                </w:p>
              </w:tc>
              <w:tc>
                <w:tcPr>
                  <w:tcW w:w="593" w:type="pct"/>
                </w:tcPr>
                <w:p>
                  <w:pPr>
                    <w:pStyle w:val="24"/>
                    <w:pBdr>
                      <w:top w:val="none" w:color="auto" w:sz="0" w:space="0"/>
                      <w:left w:val="none" w:color="auto" w:sz="0" w:space="0"/>
                      <w:bottom w:val="none" w:color="auto" w:sz="0" w:space="0"/>
                      <w:right w:val="none" w:color="auto" w:sz="0" w:space="0"/>
                    </w:pBdr>
                    <w:jc w:val="center"/>
                    <w:rPr>
                      <w:color w:val="0000FF"/>
                      <w:sz w:val="21"/>
                      <w:szCs w:val="21"/>
                    </w:rPr>
                  </w:pPr>
                  <w:r>
                    <w:rPr>
                      <w:rFonts w:hint="eastAsia"/>
                      <w:color w:val="0000FF"/>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2" w:type="pct"/>
                </w:tcPr>
                <w:p>
                  <w:pPr>
                    <w:pStyle w:val="24"/>
                    <w:pBdr>
                      <w:top w:val="none" w:color="auto" w:sz="0" w:space="0"/>
                      <w:left w:val="none" w:color="auto" w:sz="0" w:space="0"/>
                      <w:bottom w:val="none" w:color="auto" w:sz="0" w:space="0"/>
                      <w:right w:val="none" w:color="auto" w:sz="0" w:space="0"/>
                    </w:pBdr>
                    <w:jc w:val="center"/>
                    <w:rPr>
                      <w:b/>
                      <w:bCs/>
                      <w:color w:val="0000FF"/>
                      <w:sz w:val="21"/>
                      <w:szCs w:val="21"/>
                    </w:rPr>
                  </w:pPr>
                  <w:r>
                    <w:rPr>
                      <w:rFonts w:hint="eastAsia"/>
                      <w:b/>
                      <w:bCs/>
                      <w:color w:val="0000FF"/>
                      <w:sz w:val="21"/>
                      <w:szCs w:val="21"/>
                    </w:rPr>
                    <w:t>成品堆场</w:t>
                  </w:r>
                </w:p>
              </w:tc>
              <w:tc>
                <w:tcPr>
                  <w:tcW w:w="773" w:type="pct"/>
                </w:tcPr>
                <w:p>
                  <w:pPr>
                    <w:pStyle w:val="24"/>
                    <w:pBdr>
                      <w:top w:val="none" w:color="auto" w:sz="0" w:space="0"/>
                      <w:left w:val="none" w:color="auto" w:sz="0" w:space="0"/>
                      <w:bottom w:val="none" w:color="auto" w:sz="0" w:space="0"/>
                      <w:right w:val="none" w:color="auto" w:sz="0" w:space="0"/>
                    </w:pBdr>
                    <w:jc w:val="center"/>
                    <w:rPr>
                      <w:color w:val="0000FF"/>
                      <w:sz w:val="21"/>
                      <w:szCs w:val="21"/>
                    </w:rPr>
                  </w:pPr>
                  <w:r>
                    <w:rPr>
                      <w:rFonts w:hint="eastAsia"/>
                      <w:color w:val="0000FF"/>
                      <w:sz w:val="21"/>
                      <w:szCs w:val="21"/>
                    </w:rPr>
                    <w:t>8</w:t>
                  </w:r>
                  <w:r>
                    <w:rPr>
                      <w:color w:val="0000FF"/>
                      <w:sz w:val="21"/>
                      <w:szCs w:val="21"/>
                    </w:rPr>
                    <w:t>00</w:t>
                  </w:r>
                </w:p>
              </w:tc>
              <w:tc>
                <w:tcPr>
                  <w:tcW w:w="554" w:type="pct"/>
                </w:tcPr>
                <w:p>
                  <w:pPr>
                    <w:pStyle w:val="24"/>
                    <w:pBdr>
                      <w:top w:val="none" w:color="auto" w:sz="0" w:space="0"/>
                      <w:left w:val="none" w:color="auto" w:sz="0" w:space="0"/>
                      <w:bottom w:val="none" w:color="auto" w:sz="0" w:space="0"/>
                      <w:right w:val="none" w:color="auto" w:sz="0" w:space="0"/>
                    </w:pBdr>
                    <w:jc w:val="center"/>
                    <w:rPr>
                      <w:color w:val="0000FF"/>
                      <w:sz w:val="21"/>
                      <w:szCs w:val="21"/>
                    </w:rPr>
                  </w:pPr>
                  <w:r>
                    <w:rPr>
                      <w:rFonts w:hint="eastAsia"/>
                      <w:color w:val="0000FF"/>
                      <w:sz w:val="21"/>
                      <w:szCs w:val="21"/>
                    </w:rPr>
                    <w:t>30</w:t>
                  </w:r>
                </w:p>
              </w:tc>
              <w:tc>
                <w:tcPr>
                  <w:tcW w:w="584" w:type="pct"/>
                </w:tcPr>
                <w:p>
                  <w:pPr>
                    <w:pStyle w:val="24"/>
                    <w:pBdr>
                      <w:top w:val="none" w:color="auto" w:sz="0" w:space="0"/>
                      <w:left w:val="none" w:color="auto" w:sz="0" w:space="0"/>
                      <w:bottom w:val="none" w:color="auto" w:sz="0" w:space="0"/>
                      <w:right w:val="none" w:color="auto" w:sz="0" w:space="0"/>
                    </w:pBdr>
                    <w:jc w:val="center"/>
                    <w:rPr>
                      <w:color w:val="0000FF"/>
                      <w:sz w:val="21"/>
                      <w:szCs w:val="21"/>
                    </w:rPr>
                  </w:pPr>
                  <w:r>
                    <w:rPr>
                      <w:rFonts w:hint="eastAsia"/>
                      <w:color w:val="0000FF"/>
                      <w:sz w:val="21"/>
                      <w:szCs w:val="21"/>
                    </w:rPr>
                    <w:t>0.0009</w:t>
                  </w:r>
                </w:p>
              </w:tc>
              <w:tc>
                <w:tcPr>
                  <w:tcW w:w="584" w:type="pct"/>
                </w:tcPr>
                <w:p>
                  <w:pPr>
                    <w:pStyle w:val="24"/>
                    <w:pBdr>
                      <w:top w:val="none" w:color="auto" w:sz="0" w:space="0"/>
                      <w:left w:val="none" w:color="auto" w:sz="0" w:space="0"/>
                      <w:bottom w:val="none" w:color="auto" w:sz="0" w:space="0"/>
                      <w:right w:val="none" w:color="auto" w:sz="0" w:space="0"/>
                    </w:pBdr>
                    <w:jc w:val="center"/>
                    <w:rPr>
                      <w:color w:val="0000FF"/>
                      <w:sz w:val="21"/>
                      <w:szCs w:val="21"/>
                    </w:rPr>
                  </w:pPr>
                  <w:r>
                    <w:rPr>
                      <w:rFonts w:hint="eastAsia"/>
                      <w:color w:val="0000FF"/>
                      <w:sz w:val="21"/>
                      <w:szCs w:val="21"/>
                    </w:rPr>
                    <w:t>0.0017</w:t>
                  </w:r>
                </w:p>
              </w:tc>
              <w:tc>
                <w:tcPr>
                  <w:tcW w:w="506" w:type="pct"/>
                </w:tcPr>
                <w:p>
                  <w:pPr>
                    <w:pStyle w:val="24"/>
                    <w:pBdr>
                      <w:top w:val="none" w:color="auto" w:sz="0" w:space="0"/>
                      <w:left w:val="none" w:color="auto" w:sz="0" w:space="0"/>
                      <w:bottom w:val="none" w:color="auto" w:sz="0" w:space="0"/>
                      <w:right w:val="none" w:color="auto" w:sz="0" w:space="0"/>
                    </w:pBdr>
                    <w:jc w:val="center"/>
                    <w:rPr>
                      <w:color w:val="0000FF"/>
                      <w:sz w:val="21"/>
                      <w:szCs w:val="21"/>
                    </w:rPr>
                  </w:pPr>
                  <w:r>
                    <w:rPr>
                      <w:rFonts w:hint="eastAsia"/>
                      <w:color w:val="0000FF"/>
                      <w:sz w:val="21"/>
                      <w:szCs w:val="21"/>
                    </w:rPr>
                    <w:t>0.529</w:t>
                  </w:r>
                </w:p>
              </w:tc>
              <w:tc>
                <w:tcPr>
                  <w:tcW w:w="584" w:type="pct"/>
                </w:tcPr>
                <w:p>
                  <w:pPr>
                    <w:pStyle w:val="24"/>
                    <w:pBdr>
                      <w:top w:val="none" w:color="auto" w:sz="0" w:space="0"/>
                      <w:left w:val="none" w:color="auto" w:sz="0" w:space="0"/>
                      <w:bottom w:val="none" w:color="auto" w:sz="0" w:space="0"/>
                      <w:right w:val="none" w:color="auto" w:sz="0" w:space="0"/>
                    </w:pBdr>
                    <w:jc w:val="center"/>
                    <w:rPr>
                      <w:color w:val="0000FF"/>
                      <w:sz w:val="21"/>
                      <w:szCs w:val="21"/>
                    </w:rPr>
                  </w:pPr>
                  <w:r>
                    <w:rPr>
                      <w:rFonts w:hint="eastAsia"/>
                      <w:color w:val="0000FF"/>
                      <w:sz w:val="21"/>
                      <w:szCs w:val="21"/>
                    </w:rPr>
                    <w:t>3.6062</w:t>
                  </w:r>
                </w:p>
              </w:tc>
              <w:tc>
                <w:tcPr>
                  <w:tcW w:w="593" w:type="pct"/>
                </w:tcPr>
                <w:p>
                  <w:pPr>
                    <w:pStyle w:val="24"/>
                    <w:pBdr>
                      <w:top w:val="none" w:color="auto" w:sz="0" w:space="0"/>
                      <w:left w:val="none" w:color="auto" w:sz="0" w:space="0"/>
                      <w:bottom w:val="none" w:color="auto" w:sz="0" w:space="0"/>
                      <w:right w:val="none" w:color="auto" w:sz="0" w:space="0"/>
                    </w:pBdr>
                    <w:jc w:val="center"/>
                    <w:rPr>
                      <w:color w:val="0000FF"/>
                      <w:sz w:val="21"/>
                      <w:szCs w:val="21"/>
                    </w:rPr>
                  </w:pPr>
                  <w:r>
                    <w:rPr>
                      <w:color w:val="0000FF"/>
                      <w:sz w:val="21"/>
                      <w:szCs w:val="21"/>
                    </w:rPr>
                    <w:t>200</w:t>
                  </w:r>
                </w:p>
              </w:tc>
            </w:tr>
          </w:tbl>
          <w:p>
            <w:pPr>
              <w:spacing w:line="360" w:lineRule="auto"/>
              <w:ind w:firstLine="480" w:firstLineChars="200"/>
              <w:rPr>
                <w:color w:val="0000FF"/>
                <w:sz w:val="24"/>
              </w:rPr>
            </w:pPr>
            <w:r>
              <w:rPr>
                <w:rFonts w:hint="eastAsia"/>
                <w:color w:val="0000FF"/>
                <w:sz w:val="24"/>
              </w:rPr>
              <w:t>根据上述公式计算，项目运营期原料堆场颗粒物产生量约3</w:t>
            </w:r>
            <w:r>
              <w:rPr>
                <w:color w:val="0000FF"/>
                <w:sz w:val="24"/>
              </w:rPr>
              <w:t>.213</w:t>
            </w:r>
            <w:r>
              <w:rPr>
                <w:rFonts w:hint="eastAsia"/>
                <w:color w:val="0000FF"/>
                <w:sz w:val="24"/>
              </w:rPr>
              <w:t>t/a，1</w:t>
            </w:r>
            <w:r>
              <w:rPr>
                <w:color w:val="0000FF"/>
                <w:sz w:val="24"/>
              </w:rPr>
              <w:t>0.71</w:t>
            </w:r>
            <w:r>
              <w:rPr>
                <w:rFonts w:hint="eastAsia"/>
                <w:color w:val="0000FF"/>
                <w:sz w:val="24"/>
              </w:rPr>
              <w:t>kg</w:t>
            </w:r>
            <w:r>
              <w:rPr>
                <w:color w:val="0000FF"/>
                <w:sz w:val="24"/>
              </w:rPr>
              <w:t>/</w:t>
            </w:r>
            <w:r>
              <w:rPr>
                <w:rFonts w:hint="eastAsia"/>
                <w:color w:val="0000FF"/>
                <w:sz w:val="24"/>
              </w:rPr>
              <w:t>d，1</w:t>
            </w:r>
            <w:r>
              <w:rPr>
                <w:color w:val="0000FF"/>
                <w:sz w:val="24"/>
              </w:rPr>
              <w:t>.339</w:t>
            </w:r>
            <w:r>
              <w:rPr>
                <w:rFonts w:hint="eastAsia"/>
                <w:color w:val="0000FF"/>
                <w:sz w:val="24"/>
              </w:rPr>
              <w:t>kg</w:t>
            </w:r>
            <w:r>
              <w:rPr>
                <w:color w:val="0000FF"/>
                <w:sz w:val="24"/>
              </w:rPr>
              <w:t>/</w:t>
            </w:r>
            <w:r>
              <w:rPr>
                <w:rFonts w:hint="eastAsia"/>
                <w:color w:val="0000FF"/>
                <w:sz w:val="24"/>
              </w:rPr>
              <w:t>h；成品堆场颗粒物产生量约1</w:t>
            </w:r>
            <w:r>
              <w:rPr>
                <w:color w:val="0000FF"/>
                <w:sz w:val="24"/>
              </w:rPr>
              <w:t>4.138</w:t>
            </w:r>
            <w:r>
              <w:rPr>
                <w:rFonts w:hint="eastAsia"/>
                <w:color w:val="0000FF"/>
                <w:sz w:val="24"/>
              </w:rPr>
              <w:t>t/a，4</w:t>
            </w:r>
            <w:r>
              <w:rPr>
                <w:color w:val="0000FF"/>
                <w:sz w:val="24"/>
              </w:rPr>
              <w:t>7.128</w:t>
            </w:r>
            <w:r>
              <w:rPr>
                <w:rFonts w:hint="eastAsia"/>
                <w:color w:val="0000FF"/>
                <w:sz w:val="24"/>
              </w:rPr>
              <w:t>kg</w:t>
            </w:r>
            <w:r>
              <w:rPr>
                <w:color w:val="0000FF"/>
                <w:sz w:val="24"/>
              </w:rPr>
              <w:t>/</w:t>
            </w:r>
            <w:r>
              <w:rPr>
                <w:rFonts w:hint="eastAsia"/>
                <w:color w:val="0000FF"/>
                <w:sz w:val="24"/>
              </w:rPr>
              <w:t>d，5</w:t>
            </w:r>
            <w:r>
              <w:rPr>
                <w:color w:val="0000FF"/>
                <w:sz w:val="24"/>
              </w:rPr>
              <w:t>.891</w:t>
            </w:r>
            <w:r>
              <w:rPr>
                <w:rFonts w:hint="eastAsia"/>
                <w:color w:val="0000FF"/>
                <w:sz w:val="24"/>
              </w:rPr>
              <w:t>kg</w:t>
            </w:r>
            <w:r>
              <w:rPr>
                <w:color w:val="0000FF"/>
                <w:sz w:val="24"/>
              </w:rPr>
              <w:t>/</w:t>
            </w:r>
            <w:r>
              <w:rPr>
                <w:rFonts w:hint="eastAsia"/>
                <w:color w:val="0000FF"/>
                <w:sz w:val="24"/>
              </w:rPr>
              <w:t>h。</w:t>
            </w:r>
          </w:p>
          <w:p>
            <w:pPr>
              <w:pStyle w:val="24"/>
              <w:spacing w:line="360" w:lineRule="auto"/>
              <w:ind w:firstLine="480" w:firstLineChars="200"/>
              <w:rPr>
                <w:color w:val="0000FF"/>
                <w:sz w:val="24"/>
              </w:rPr>
            </w:pPr>
            <w:r>
              <w:rPr>
                <w:rFonts w:hint="eastAsia"/>
                <w:color w:val="0000FF"/>
                <w:sz w:val="24"/>
              </w:rPr>
              <w:t>本项目原料堆棚、成品堆棚设置为三面围挡加顶，一面敞口彩钢瓦棚，内部加装喷淋设备。根据《排放源统计调查产排污核算方法和系数手册-固体物料堆存颗粒物产排污核算系数手册》中“附表4、附表5”，上述措施扬尘控制效率详见下表：</w:t>
            </w:r>
          </w:p>
          <w:p>
            <w:pPr>
              <w:pStyle w:val="24"/>
              <w:jc w:val="center"/>
              <w:rPr>
                <w:b/>
                <w:bCs/>
                <w:color w:val="0000FF"/>
                <w:sz w:val="24"/>
              </w:rPr>
            </w:pPr>
            <w:r>
              <w:rPr>
                <w:rFonts w:hint="eastAsia"/>
                <w:b/>
                <w:bCs/>
                <w:color w:val="0000FF"/>
                <w:sz w:val="24"/>
              </w:rPr>
              <w:t>表4</w:t>
            </w:r>
            <w:r>
              <w:rPr>
                <w:b/>
                <w:bCs/>
                <w:color w:val="0000FF"/>
                <w:sz w:val="24"/>
              </w:rPr>
              <w:t>.6</w:t>
            </w:r>
            <w:r>
              <w:rPr>
                <w:rFonts w:hint="eastAsia"/>
                <w:b/>
                <w:bCs/>
                <w:color w:val="0000FF"/>
                <w:sz w:val="24"/>
              </w:rPr>
              <w:t>-</w:t>
            </w:r>
            <w:r>
              <w:rPr>
                <w:b/>
                <w:bCs/>
                <w:color w:val="0000FF"/>
                <w:sz w:val="24"/>
              </w:rPr>
              <w:t>3</w:t>
            </w:r>
            <w:r>
              <w:rPr>
                <w:rFonts w:hint="eastAsia"/>
                <w:b/>
                <w:bCs/>
                <w:color w:val="0000FF"/>
                <w:sz w:val="24"/>
              </w:rPr>
              <w:t xml:space="preserve">  堆料棚粉尘控制措施控制效率一览表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8"/>
              <w:gridCol w:w="4222"/>
              <w:gridCol w:w="2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3" w:type="pct"/>
                </w:tcPr>
                <w:p>
                  <w:pPr>
                    <w:pStyle w:val="24"/>
                    <w:pBdr>
                      <w:top w:val="none" w:color="auto" w:sz="0" w:space="0"/>
                      <w:left w:val="none" w:color="auto" w:sz="0" w:space="0"/>
                      <w:bottom w:val="none" w:color="auto" w:sz="0" w:space="0"/>
                      <w:right w:val="none" w:color="auto" w:sz="0" w:space="0"/>
                    </w:pBdr>
                    <w:jc w:val="center"/>
                    <w:rPr>
                      <w:b/>
                      <w:bCs/>
                      <w:color w:val="0000FF"/>
                      <w:sz w:val="21"/>
                      <w:szCs w:val="21"/>
                    </w:rPr>
                  </w:pPr>
                  <w:r>
                    <w:rPr>
                      <w:rFonts w:hint="eastAsia"/>
                      <w:b/>
                      <w:bCs/>
                      <w:color w:val="0000FF"/>
                      <w:sz w:val="21"/>
                      <w:szCs w:val="21"/>
                    </w:rPr>
                    <w:t>序号</w:t>
                  </w:r>
                </w:p>
              </w:tc>
              <w:tc>
                <w:tcPr>
                  <w:tcW w:w="2491" w:type="pct"/>
                </w:tcPr>
                <w:p>
                  <w:pPr>
                    <w:pStyle w:val="24"/>
                    <w:pBdr>
                      <w:top w:val="none" w:color="auto" w:sz="0" w:space="0"/>
                      <w:left w:val="none" w:color="auto" w:sz="0" w:space="0"/>
                      <w:bottom w:val="none" w:color="auto" w:sz="0" w:space="0"/>
                      <w:right w:val="none" w:color="auto" w:sz="0" w:space="0"/>
                    </w:pBdr>
                    <w:jc w:val="center"/>
                    <w:rPr>
                      <w:b/>
                      <w:bCs/>
                      <w:color w:val="0000FF"/>
                      <w:sz w:val="21"/>
                      <w:szCs w:val="21"/>
                    </w:rPr>
                  </w:pPr>
                  <w:r>
                    <w:rPr>
                      <w:rFonts w:hint="eastAsia"/>
                      <w:b/>
                      <w:bCs/>
                      <w:color w:val="0000FF"/>
                      <w:sz w:val="21"/>
                      <w:szCs w:val="21"/>
                    </w:rPr>
                    <w:t>控制措施</w:t>
                  </w:r>
                </w:p>
              </w:tc>
              <w:tc>
                <w:tcPr>
                  <w:tcW w:w="1566" w:type="pct"/>
                </w:tcPr>
                <w:p>
                  <w:pPr>
                    <w:pStyle w:val="24"/>
                    <w:pBdr>
                      <w:top w:val="none" w:color="auto" w:sz="0" w:space="0"/>
                      <w:left w:val="none" w:color="auto" w:sz="0" w:space="0"/>
                      <w:bottom w:val="none" w:color="auto" w:sz="0" w:space="0"/>
                      <w:right w:val="none" w:color="auto" w:sz="0" w:space="0"/>
                    </w:pBdr>
                    <w:jc w:val="center"/>
                    <w:rPr>
                      <w:b/>
                      <w:bCs/>
                      <w:color w:val="0000FF"/>
                      <w:sz w:val="21"/>
                      <w:szCs w:val="21"/>
                    </w:rPr>
                  </w:pPr>
                  <w:r>
                    <w:rPr>
                      <w:rFonts w:hint="eastAsia"/>
                      <w:b/>
                      <w:bCs/>
                      <w:color w:val="0000FF"/>
                      <w:sz w:val="21"/>
                      <w:szCs w:val="21"/>
                    </w:rPr>
                    <w:t>控制效率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3" w:type="pct"/>
                </w:tcPr>
                <w:p>
                  <w:pPr>
                    <w:pStyle w:val="24"/>
                    <w:pBdr>
                      <w:top w:val="none" w:color="auto" w:sz="0" w:space="0"/>
                      <w:left w:val="none" w:color="auto" w:sz="0" w:space="0"/>
                      <w:bottom w:val="none" w:color="auto" w:sz="0" w:space="0"/>
                      <w:right w:val="none" w:color="auto" w:sz="0" w:space="0"/>
                    </w:pBdr>
                    <w:jc w:val="center"/>
                    <w:rPr>
                      <w:color w:val="0000FF"/>
                      <w:sz w:val="21"/>
                      <w:szCs w:val="21"/>
                    </w:rPr>
                  </w:pPr>
                  <w:r>
                    <w:rPr>
                      <w:rFonts w:hint="eastAsia"/>
                      <w:color w:val="0000FF"/>
                      <w:sz w:val="21"/>
                      <w:szCs w:val="21"/>
                    </w:rPr>
                    <w:t>1</w:t>
                  </w:r>
                </w:p>
              </w:tc>
              <w:tc>
                <w:tcPr>
                  <w:tcW w:w="2491" w:type="pct"/>
                </w:tcPr>
                <w:p>
                  <w:pPr>
                    <w:pStyle w:val="24"/>
                    <w:pBdr>
                      <w:top w:val="none" w:color="auto" w:sz="0" w:space="0"/>
                      <w:left w:val="none" w:color="auto" w:sz="0" w:space="0"/>
                      <w:bottom w:val="none" w:color="auto" w:sz="0" w:space="0"/>
                      <w:right w:val="none" w:color="auto" w:sz="0" w:space="0"/>
                    </w:pBdr>
                    <w:jc w:val="center"/>
                    <w:rPr>
                      <w:color w:val="0000FF"/>
                      <w:sz w:val="21"/>
                      <w:szCs w:val="21"/>
                    </w:rPr>
                  </w:pPr>
                  <w:r>
                    <w:rPr>
                      <w:rFonts w:hint="eastAsia"/>
                      <w:color w:val="0000FF"/>
                      <w:sz w:val="21"/>
                      <w:szCs w:val="21"/>
                    </w:rPr>
                    <w:t>喷淋降尘</w:t>
                  </w:r>
                </w:p>
              </w:tc>
              <w:tc>
                <w:tcPr>
                  <w:tcW w:w="1566" w:type="pct"/>
                </w:tcPr>
                <w:p>
                  <w:pPr>
                    <w:pStyle w:val="24"/>
                    <w:pBdr>
                      <w:top w:val="none" w:color="auto" w:sz="0" w:space="0"/>
                      <w:left w:val="none" w:color="auto" w:sz="0" w:space="0"/>
                      <w:bottom w:val="none" w:color="auto" w:sz="0" w:space="0"/>
                      <w:right w:val="none" w:color="auto" w:sz="0" w:space="0"/>
                    </w:pBdr>
                    <w:jc w:val="center"/>
                    <w:rPr>
                      <w:color w:val="0000FF"/>
                      <w:sz w:val="21"/>
                      <w:szCs w:val="21"/>
                    </w:rPr>
                  </w:pPr>
                  <w:r>
                    <w:rPr>
                      <w:color w:val="0000FF"/>
                      <w:sz w:val="21"/>
                      <w:szCs w:val="21"/>
                    </w:rPr>
                    <w:t>74</w:t>
                  </w:r>
                  <w:r>
                    <w:rPr>
                      <w:rFonts w:hint="eastAsia"/>
                      <w:color w:val="0000FF"/>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3" w:type="pct"/>
                </w:tcPr>
                <w:p>
                  <w:pPr>
                    <w:pStyle w:val="24"/>
                    <w:pBdr>
                      <w:top w:val="none" w:color="auto" w:sz="0" w:space="0"/>
                      <w:left w:val="none" w:color="auto" w:sz="0" w:space="0"/>
                      <w:bottom w:val="none" w:color="auto" w:sz="0" w:space="0"/>
                      <w:right w:val="none" w:color="auto" w:sz="0" w:space="0"/>
                    </w:pBdr>
                    <w:jc w:val="center"/>
                    <w:rPr>
                      <w:color w:val="0000FF"/>
                      <w:sz w:val="21"/>
                      <w:szCs w:val="21"/>
                    </w:rPr>
                  </w:pPr>
                  <w:r>
                    <w:rPr>
                      <w:color w:val="0000FF"/>
                      <w:sz w:val="21"/>
                      <w:szCs w:val="21"/>
                    </w:rPr>
                    <w:t>2</w:t>
                  </w:r>
                </w:p>
              </w:tc>
              <w:tc>
                <w:tcPr>
                  <w:tcW w:w="2491" w:type="pct"/>
                </w:tcPr>
                <w:p>
                  <w:pPr>
                    <w:pStyle w:val="24"/>
                    <w:pBdr>
                      <w:top w:val="none" w:color="auto" w:sz="0" w:space="0"/>
                      <w:left w:val="none" w:color="auto" w:sz="0" w:space="0"/>
                      <w:bottom w:val="none" w:color="auto" w:sz="0" w:space="0"/>
                      <w:right w:val="none" w:color="auto" w:sz="0" w:space="0"/>
                    </w:pBdr>
                    <w:jc w:val="center"/>
                    <w:rPr>
                      <w:color w:val="0000FF"/>
                      <w:sz w:val="21"/>
                      <w:szCs w:val="21"/>
                    </w:rPr>
                  </w:pPr>
                  <w:r>
                    <w:rPr>
                      <w:rFonts w:hint="eastAsia"/>
                      <w:color w:val="0000FF"/>
                      <w:sz w:val="21"/>
                      <w:szCs w:val="21"/>
                    </w:rPr>
                    <w:t>半敞开式堆料棚</w:t>
                  </w:r>
                </w:p>
              </w:tc>
              <w:tc>
                <w:tcPr>
                  <w:tcW w:w="1566" w:type="pct"/>
                </w:tcPr>
                <w:p>
                  <w:pPr>
                    <w:pStyle w:val="24"/>
                    <w:pBdr>
                      <w:top w:val="none" w:color="auto" w:sz="0" w:space="0"/>
                      <w:left w:val="none" w:color="auto" w:sz="0" w:space="0"/>
                      <w:bottom w:val="none" w:color="auto" w:sz="0" w:space="0"/>
                      <w:right w:val="none" w:color="auto" w:sz="0" w:space="0"/>
                    </w:pBdr>
                    <w:jc w:val="center"/>
                    <w:rPr>
                      <w:color w:val="0000FF"/>
                      <w:sz w:val="21"/>
                      <w:szCs w:val="21"/>
                    </w:rPr>
                  </w:pPr>
                  <w:r>
                    <w:rPr>
                      <w:rFonts w:hint="eastAsia"/>
                      <w:color w:val="0000FF"/>
                      <w:sz w:val="21"/>
                      <w:szCs w:val="21"/>
                    </w:rPr>
                    <w:t>60%</w:t>
                  </w:r>
                </w:p>
              </w:tc>
            </w:tr>
          </w:tbl>
          <w:p>
            <w:pPr>
              <w:spacing w:line="360" w:lineRule="auto"/>
              <w:ind w:firstLine="480" w:firstLineChars="200"/>
              <w:rPr>
                <w:color w:val="0000FF"/>
                <w:sz w:val="24"/>
              </w:rPr>
            </w:pPr>
            <w:r>
              <w:rPr>
                <w:rFonts w:hint="eastAsia"/>
                <w:color w:val="0000FF"/>
                <w:sz w:val="24"/>
              </w:rPr>
              <w:t>经采取合理可行的扬尘控制措施后，项目运营期原料堆棚扬尘排放量约0</w:t>
            </w:r>
            <w:r>
              <w:rPr>
                <w:color w:val="0000FF"/>
                <w:sz w:val="24"/>
              </w:rPr>
              <w:t>.334</w:t>
            </w:r>
            <w:r>
              <w:rPr>
                <w:rFonts w:hint="eastAsia"/>
                <w:color w:val="0000FF"/>
                <w:sz w:val="24"/>
              </w:rPr>
              <w:t>t/a，1</w:t>
            </w:r>
            <w:r>
              <w:rPr>
                <w:color w:val="0000FF"/>
                <w:sz w:val="24"/>
              </w:rPr>
              <w:t>.114</w:t>
            </w:r>
            <w:r>
              <w:rPr>
                <w:rFonts w:hint="eastAsia"/>
                <w:color w:val="0000FF"/>
                <w:sz w:val="24"/>
              </w:rPr>
              <w:t>kg</w:t>
            </w:r>
            <w:r>
              <w:rPr>
                <w:color w:val="0000FF"/>
                <w:sz w:val="24"/>
              </w:rPr>
              <w:t>/</w:t>
            </w:r>
            <w:r>
              <w:rPr>
                <w:rFonts w:hint="eastAsia"/>
                <w:color w:val="0000FF"/>
                <w:sz w:val="24"/>
              </w:rPr>
              <w:t>d，0</w:t>
            </w:r>
            <w:r>
              <w:rPr>
                <w:color w:val="0000FF"/>
                <w:sz w:val="24"/>
              </w:rPr>
              <w:t>.139</w:t>
            </w:r>
            <w:r>
              <w:rPr>
                <w:rFonts w:hint="eastAsia"/>
                <w:color w:val="0000FF"/>
                <w:sz w:val="24"/>
              </w:rPr>
              <w:t>kg</w:t>
            </w:r>
            <w:r>
              <w:rPr>
                <w:color w:val="0000FF"/>
                <w:sz w:val="24"/>
              </w:rPr>
              <w:t>/</w:t>
            </w:r>
            <w:r>
              <w:rPr>
                <w:rFonts w:hint="eastAsia"/>
                <w:color w:val="0000FF"/>
                <w:sz w:val="24"/>
              </w:rPr>
              <w:t>h；成品堆棚扬尘排放量约</w:t>
            </w:r>
            <w:r>
              <w:rPr>
                <w:color w:val="0000FF"/>
                <w:sz w:val="24"/>
              </w:rPr>
              <w:t>1.47</w:t>
            </w:r>
            <w:r>
              <w:rPr>
                <w:rFonts w:hint="eastAsia"/>
                <w:color w:val="0000FF"/>
                <w:sz w:val="24"/>
              </w:rPr>
              <w:t>t/a，</w:t>
            </w:r>
            <w:r>
              <w:rPr>
                <w:color w:val="0000FF"/>
                <w:sz w:val="24"/>
              </w:rPr>
              <w:t>4.901</w:t>
            </w:r>
            <w:r>
              <w:rPr>
                <w:rFonts w:hint="eastAsia"/>
                <w:color w:val="0000FF"/>
                <w:sz w:val="24"/>
              </w:rPr>
              <w:t>kg</w:t>
            </w:r>
            <w:r>
              <w:rPr>
                <w:color w:val="0000FF"/>
                <w:sz w:val="24"/>
              </w:rPr>
              <w:t>/</w:t>
            </w:r>
            <w:r>
              <w:rPr>
                <w:rFonts w:hint="eastAsia"/>
                <w:color w:val="0000FF"/>
                <w:sz w:val="24"/>
              </w:rPr>
              <w:t>d，</w:t>
            </w:r>
            <w:r>
              <w:rPr>
                <w:color w:val="0000FF"/>
                <w:sz w:val="24"/>
              </w:rPr>
              <w:t>0.613</w:t>
            </w:r>
            <w:r>
              <w:rPr>
                <w:rFonts w:hint="eastAsia"/>
                <w:color w:val="0000FF"/>
                <w:sz w:val="24"/>
              </w:rPr>
              <w:t>kg</w:t>
            </w:r>
            <w:r>
              <w:rPr>
                <w:color w:val="0000FF"/>
                <w:sz w:val="24"/>
              </w:rPr>
              <w:t>/</w:t>
            </w:r>
            <w:r>
              <w:rPr>
                <w:rFonts w:hint="eastAsia"/>
                <w:color w:val="0000FF"/>
                <w:sz w:val="24"/>
              </w:rPr>
              <w:t>h。</w:t>
            </w:r>
          </w:p>
          <w:p>
            <w:pPr>
              <w:spacing w:line="360" w:lineRule="auto"/>
              <w:ind w:firstLine="481" w:firstLineChars="200"/>
              <w:rPr>
                <w:b/>
                <w:color w:val="0000FF"/>
                <w:sz w:val="24"/>
              </w:rPr>
            </w:pPr>
            <w:r>
              <w:rPr>
                <w:rFonts w:hint="eastAsia"/>
                <w:b/>
                <w:color w:val="0000FF"/>
                <w:sz w:val="24"/>
              </w:rPr>
              <w:t>（3）破碎、筛分扬尘</w:t>
            </w:r>
          </w:p>
          <w:p>
            <w:pPr>
              <w:spacing w:line="360" w:lineRule="auto"/>
              <w:ind w:firstLine="480" w:firstLineChars="200"/>
              <w:rPr>
                <w:color w:val="0000FF"/>
                <w:sz w:val="24"/>
              </w:rPr>
            </w:pPr>
            <w:r>
              <w:rPr>
                <w:rFonts w:hint="eastAsia"/>
                <w:color w:val="0000FF"/>
                <w:sz w:val="24"/>
              </w:rPr>
              <w:t>项目运营期外购砂土石经三级破碎筛分后制成机制砂，输送至洗砂机内水洗清除杂质。在破碎筛分环节会有粉尘产生和排放。根据《排放源统计调查产排污核算方法和系数手册-303砖瓦、石材等建筑材料制造行业系数手册》，其他建筑材料制造行业大气污染物产污系数如下：</w:t>
            </w:r>
          </w:p>
          <w:p>
            <w:pPr>
              <w:jc w:val="center"/>
              <w:rPr>
                <w:b/>
                <w:color w:val="0000FF"/>
                <w:sz w:val="24"/>
              </w:rPr>
            </w:pPr>
            <w:r>
              <w:rPr>
                <w:rFonts w:hint="eastAsia"/>
                <w:b/>
                <w:color w:val="0000FF"/>
                <w:sz w:val="24"/>
              </w:rPr>
              <w:t>表4</w:t>
            </w:r>
            <w:r>
              <w:rPr>
                <w:b/>
                <w:color w:val="0000FF"/>
                <w:sz w:val="24"/>
              </w:rPr>
              <w:t xml:space="preserve">.6-4  </w:t>
            </w:r>
            <w:r>
              <w:rPr>
                <w:rFonts w:hint="eastAsia"/>
                <w:b/>
                <w:color w:val="0000FF"/>
                <w:sz w:val="24"/>
              </w:rPr>
              <w:t>其他建筑材料制造行业</w:t>
            </w:r>
          </w:p>
          <w:tbl>
            <w:tblPr>
              <w:tblStyle w:val="3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08"/>
              <w:gridCol w:w="1203"/>
              <w:gridCol w:w="1203"/>
              <w:gridCol w:w="808"/>
              <w:gridCol w:w="1335"/>
              <w:gridCol w:w="1104"/>
              <w:gridCol w:w="808"/>
              <w:gridCol w:w="12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781" w:type="dxa"/>
                  <w:vAlign w:val="center"/>
                </w:tcPr>
                <w:p>
                  <w:pPr>
                    <w:jc w:val="center"/>
                    <w:rPr>
                      <w:b/>
                      <w:color w:val="0000FF"/>
                      <w:szCs w:val="21"/>
                    </w:rPr>
                  </w:pPr>
                  <w:r>
                    <w:rPr>
                      <w:b/>
                      <w:color w:val="0000FF"/>
                      <w:szCs w:val="21"/>
                    </w:rPr>
                    <w:t>产品名称</w:t>
                  </w:r>
                </w:p>
              </w:tc>
              <w:tc>
                <w:tcPr>
                  <w:tcW w:w="1161" w:type="dxa"/>
                  <w:vAlign w:val="center"/>
                </w:tcPr>
                <w:p>
                  <w:pPr>
                    <w:jc w:val="center"/>
                    <w:rPr>
                      <w:b/>
                      <w:color w:val="0000FF"/>
                      <w:szCs w:val="21"/>
                    </w:rPr>
                  </w:pPr>
                  <w:r>
                    <w:rPr>
                      <w:b/>
                      <w:color w:val="0000FF"/>
                      <w:szCs w:val="21"/>
                    </w:rPr>
                    <w:t>原料名称</w:t>
                  </w:r>
                </w:p>
              </w:tc>
              <w:tc>
                <w:tcPr>
                  <w:tcW w:w="1161" w:type="dxa"/>
                  <w:vAlign w:val="center"/>
                </w:tcPr>
                <w:p>
                  <w:pPr>
                    <w:jc w:val="center"/>
                    <w:rPr>
                      <w:b/>
                      <w:color w:val="0000FF"/>
                      <w:szCs w:val="21"/>
                    </w:rPr>
                  </w:pPr>
                  <w:r>
                    <w:rPr>
                      <w:b/>
                      <w:color w:val="0000FF"/>
                      <w:szCs w:val="21"/>
                    </w:rPr>
                    <w:t>工艺名称</w:t>
                  </w:r>
                </w:p>
              </w:tc>
              <w:tc>
                <w:tcPr>
                  <w:tcW w:w="780" w:type="dxa"/>
                  <w:vAlign w:val="center"/>
                </w:tcPr>
                <w:p>
                  <w:pPr>
                    <w:jc w:val="center"/>
                    <w:rPr>
                      <w:b/>
                      <w:color w:val="0000FF"/>
                      <w:szCs w:val="21"/>
                    </w:rPr>
                  </w:pPr>
                  <w:r>
                    <w:rPr>
                      <w:b/>
                      <w:color w:val="0000FF"/>
                      <w:szCs w:val="21"/>
                    </w:rPr>
                    <w:t>污染物指标</w:t>
                  </w:r>
                </w:p>
              </w:tc>
              <w:tc>
                <w:tcPr>
                  <w:tcW w:w="1289" w:type="dxa"/>
                  <w:vAlign w:val="center"/>
                </w:tcPr>
                <w:p>
                  <w:pPr>
                    <w:jc w:val="center"/>
                    <w:rPr>
                      <w:b/>
                      <w:color w:val="0000FF"/>
                      <w:szCs w:val="21"/>
                    </w:rPr>
                  </w:pPr>
                  <w:r>
                    <w:rPr>
                      <w:b/>
                      <w:color w:val="0000FF"/>
                      <w:szCs w:val="21"/>
                    </w:rPr>
                    <w:t>系数单位</w:t>
                  </w:r>
                </w:p>
              </w:tc>
              <w:tc>
                <w:tcPr>
                  <w:tcW w:w="1066" w:type="dxa"/>
                  <w:vAlign w:val="center"/>
                </w:tcPr>
                <w:p>
                  <w:pPr>
                    <w:jc w:val="center"/>
                    <w:rPr>
                      <w:b/>
                      <w:color w:val="0000FF"/>
                      <w:szCs w:val="21"/>
                    </w:rPr>
                  </w:pPr>
                  <w:r>
                    <w:rPr>
                      <w:b/>
                      <w:color w:val="0000FF"/>
                      <w:szCs w:val="21"/>
                    </w:rPr>
                    <w:t>产污系数</w:t>
                  </w:r>
                </w:p>
              </w:tc>
              <w:tc>
                <w:tcPr>
                  <w:tcW w:w="780" w:type="dxa"/>
                  <w:vAlign w:val="center"/>
                </w:tcPr>
                <w:p>
                  <w:pPr>
                    <w:jc w:val="center"/>
                    <w:rPr>
                      <w:b/>
                      <w:color w:val="0000FF"/>
                      <w:szCs w:val="21"/>
                    </w:rPr>
                  </w:pPr>
                  <w:r>
                    <w:rPr>
                      <w:b/>
                      <w:color w:val="0000FF"/>
                      <w:szCs w:val="21"/>
                    </w:rPr>
                    <w:t>治理技术</w:t>
                  </w:r>
                </w:p>
              </w:tc>
              <w:tc>
                <w:tcPr>
                  <w:tcW w:w="1163" w:type="dxa"/>
                  <w:vAlign w:val="center"/>
                </w:tcPr>
                <w:p>
                  <w:pPr>
                    <w:jc w:val="center"/>
                    <w:rPr>
                      <w:b/>
                      <w:color w:val="0000FF"/>
                      <w:szCs w:val="21"/>
                    </w:rPr>
                  </w:pPr>
                  <w:r>
                    <w:rPr>
                      <w:b/>
                      <w:color w:val="0000FF"/>
                      <w:szCs w:val="21"/>
                    </w:rPr>
                    <w:t>平均去除率%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781" w:type="dxa"/>
                  <w:vMerge w:val="restart"/>
                  <w:vAlign w:val="center"/>
                </w:tcPr>
                <w:p>
                  <w:pPr>
                    <w:jc w:val="center"/>
                    <w:rPr>
                      <w:color w:val="0000FF"/>
                      <w:szCs w:val="21"/>
                    </w:rPr>
                  </w:pPr>
                  <w:r>
                    <w:rPr>
                      <w:color w:val="0000FF"/>
                      <w:szCs w:val="21"/>
                    </w:rPr>
                    <w:t>砂石骨料</w:t>
                  </w:r>
                </w:p>
              </w:tc>
              <w:tc>
                <w:tcPr>
                  <w:tcW w:w="1161" w:type="dxa"/>
                  <w:vMerge w:val="restart"/>
                  <w:vAlign w:val="center"/>
                </w:tcPr>
                <w:p>
                  <w:pPr>
                    <w:jc w:val="center"/>
                    <w:rPr>
                      <w:color w:val="0000FF"/>
                      <w:szCs w:val="21"/>
                    </w:rPr>
                  </w:pPr>
                  <w:r>
                    <w:rPr>
                      <w:color w:val="0000FF"/>
                      <w:szCs w:val="21"/>
                    </w:rPr>
                    <w:t>岩石、矿石、建筑固体废弃物、尾矿等</w:t>
                  </w:r>
                </w:p>
              </w:tc>
              <w:tc>
                <w:tcPr>
                  <w:tcW w:w="1161" w:type="dxa"/>
                  <w:vMerge w:val="restart"/>
                  <w:vAlign w:val="center"/>
                </w:tcPr>
                <w:p>
                  <w:pPr>
                    <w:jc w:val="center"/>
                    <w:rPr>
                      <w:color w:val="0000FF"/>
                      <w:szCs w:val="21"/>
                    </w:rPr>
                  </w:pPr>
                  <w:r>
                    <w:rPr>
                      <w:color w:val="0000FF"/>
                      <w:szCs w:val="21"/>
                    </w:rPr>
                    <w:t>破碎、筛分</w:t>
                  </w:r>
                </w:p>
              </w:tc>
              <w:tc>
                <w:tcPr>
                  <w:tcW w:w="780" w:type="dxa"/>
                  <w:vMerge w:val="restart"/>
                  <w:vAlign w:val="center"/>
                </w:tcPr>
                <w:p>
                  <w:pPr>
                    <w:jc w:val="center"/>
                    <w:rPr>
                      <w:color w:val="0000FF"/>
                      <w:szCs w:val="21"/>
                    </w:rPr>
                  </w:pPr>
                  <w:r>
                    <w:rPr>
                      <w:color w:val="0000FF"/>
                      <w:szCs w:val="21"/>
                    </w:rPr>
                    <w:t>颗粒物</w:t>
                  </w:r>
                </w:p>
              </w:tc>
              <w:tc>
                <w:tcPr>
                  <w:tcW w:w="1289" w:type="dxa"/>
                  <w:vMerge w:val="restart"/>
                  <w:vAlign w:val="center"/>
                </w:tcPr>
                <w:p>
                  <w:pPr>
                    <w:jc w:val="center"/>
                    <w:rPr>
                      <w:color w:val="0000FF"/>
                      <w:szCs w:val="21"/>
                    </w:rPr>
                  </w:pPr>
                  <w:r>
                    <w:rPr>
                      <w:color w:val="0000FF"/>
                      <w:szCs w:val="21"/>
                    </w:rPr>
                    <w:t>千克/吨·产品</w:t>
                  </w:r>
                </w:p>
              </w:tc>
              <w:tc>
                <w:tcPr>
                  <w:tcW w:w="1066" w:type="dxa"/>
                  <w:vMerge w:val="restart"/>
                  <w:vAlign w:val="center"/>
                </w:tcPr>
                <w:p>
                  <w:pPr>
                    <w:jc w:val="center"/>
                    <w:rPr>
                      <w:color w:val="0000FF"/>
                      <w:szCs w:val="21"/>
                    </w:rPr>
                  </w:pPr>
                  <w:r>
                    <w:rPr>
                      <w:color w:val="0000FF"/>
                      <w:szCs w:val="21"/>
                    </w:rPr>
                    <w:t>1.89</w:t>
                  </w:r>
                </w:p>
              </w:tc>
              <w:tc>
                <w:tcPr>
                  <w:tcW w:w="780" w:type="dxa"/>
                  <w:vAlign w:val="center"/>
                </w:tcPr>
                <w:p>
                  <w:pPr>
                    <w:jc w:val="center"/>
                    <w:rPr>
                      <w:color w:val="0000FF"/>
                      <w:szCs w:val="21"/>
                    </w:rPr>
                  </w:pPr>
                  <w:r>
                    <w:rPr>
                      <w:color w:val="0000FF"/>
                      <w:szCs w:val="21"/>
                    </w:rPr>
                    <w:t>袋式除尘</w:t>
                  </w:r>
                </w:p>
              </w:tc>
              <w:tc>
                <w:tcPr>
                  <w:tcW w:w="1163" w:type="dxa"/>
                  <w:vAlign w:val="center"/>
                </w:tcPr>
                <w:p>
                  <w:pPr>
                    <w:jc w:val="center"/>
                    <w:rPr>
                      <w:color w:val="0000FF"/>
                      <w:szCs w:val="21"/>
                    </w:rPr>
                  </w:pPr>
                  <w:r>
                    <w:rPr>
                      <w:color w:val="0000FF"/>
                      <w:szCs w:val="21"/>
                    </w:rPr>
                    <w:t>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781" w:type="dxa"/>
                  <w:vMerge w:val="continue"/>
                  <w:vAlign w:val="center"/>
                </w:tcPr>
                <w:p>
                  <w:pPr>
                    <w:jc w:val="center"/>
                    <w:rPr>
                      <w:color w:val="0000FF"/>
                      <w:szCs w:val="21"/>
                    </w:rPr>
                  </w:pPr>
                </w:p>
              </w:tc>
              <w:tc>
                <w:tcPr>
                  <w:tcW w:w="1161" w:type="dxa"/>
                  <w:vMerge w:val="continue"/>
                  <w:vAlign w:val="center"/>
                </w:tcPr>
                <w:p>
                  <w:pPr>
                    <w:jc w:val="center"/>
                    <w:rPr>
                      <w:color w:val="0000FF"/>
                      <w:szCs w:val="21"/>
                    </w:rPr>
                  </w:pPr>
                </w:p>
              </w:tc>
              <w:tc>
                <w:tcPr>
                  <w:tcW w:w="1161" w:type="dxa"/>
                  <w:vMerge w:val="continue"/>
                  <w:vAlign w:val="center"/>
                </w:tcPr>
                <w:p>
                  <w:pPr>
                    <w:jc w:val="center"/>
                    <w:rPr>
                      <w:color w:val="0000FF"/>
                      <w:szCs w:val="21"/>
                    </w:rPr>
                  </w:pPr>
                </w:p>
              </w:tc>
              <w:tc>
                <w:tcPr>
                  <w:tcW w:w="780" w:type="dxa"/>
                  <w:vMerge w:val="continue"/>
                  <w:vAlign w:val="center"/>
                </w:tcPr>
                <w:p>
                  <w:pPr>
                    <w:jc w:val="center"/>
                    <w:rPr>
                      <w:color w:val="0000FF"/>
                      <w:szCs w:val="21"/>
                    </w:rPr>
                  </w:pPr>
                </w:p>
              </w:tc>
              <w:tc>
                <w:tcPr>
                  <w:tcW w:w="1289" w:type="dxa"/>
                  <w:vMerge w:val="continue"/>
                  <w:vAlign w:val="center"/>
                </w:tcPr>
                <w:p>
                  <w:pPr>
                    <w:jc w:val="center"/>
                    <w:rPr>
                      <w:color w:val="0000FF"/>
                      <w:szCs w:val="21"/>
                    </w:rPr>
                  </w:pPr>
                </w:p>
              </w:tc>
              <w:tc>
                <w:tcPr>
                  <w:tcW w:w="1066" w:type="dxa"/>
                  <w:vMerge w:val="continue"/>
                  <w:vAlign w:val="center"/>
                </w:tcPr>
                <w:p>
                  <w:pPr>
                    <w:jc w:val="center"/>
                    <w:rPr>
                      <w:color w:val="0000FF"/>
                      <w:szCs w:val="21"/>
                    </w:rPr>
                  </w:pPr>
                </w:p>
              </w:tc>
              <w:tc>
                <w:tcPr>
                  <w:tcW w:w="780" w:type="dxa"/>
                  <w:vAlign w:val="center"/>
                </w:tcPr>
                <w:p>
                  <w:pPr>
                    <w:jc w:val="center"/>
                    <w:rPr>
                      <w:color w:val="0000FF"/>
                      <w:szCs w:val="21"/>
                    </w:rPr>
                  </w:pPr>
                  <w:r>
                    <w:rPr>
                      <w:color w:val="0000FF"/>
                      <w:szCs w:val="21"/>
                    </w:rPr>
                    <w:t>湿式除尘</w:t>
                  </w:r>
                </w:p>
              </w:tc>
              <w:tc>
                <w:tcPr>
                  <w:tcW w:w="1163" w:type="dxa"/>
                  <w:vAlign w:val="center"/>
                </w:tcPr>
                <w:p>
                  <w:pPr>
                    <w:jc w:val="center"/>
                    <w:rPr>
                      <w:color w:val="0000FF"/>
                      <w:szCs w:val="21"/>
                    </w:rPr>
                  </w:pPr>
                  <w:r>
                    <w:rPr>
                      <w:color w:val="0000FF"/>
                      <w:szCs w:val="21"/>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jc w:val="center"/>
              </w:trPr>
              <w:tc>
                <w:tcPr>
                  <w:tcW w:w="781" w:type="dxa"/>
                  <w:vMerge w:val="continue"/>
                  <w:vAlign w:val="center"/>
                </w:tcPr>
                <w:p>
                  <w:pPr>
                    <w:jc w:val="center"/>
                    <w:rPr>
                      <w:color w:val="0000FF"/>
                      <w:szCs w:val="21"/>
                    </w:rPr>
                  </w:pPr>
                </w:p>
              </w:tc>
              <w:tc>
                <w:tcPr>
                  <w:tcW w:w="1161" w:type="dxa"/>
                  <w:vMerge w:val="continue"/>
                  <w:vAlign w:val="center"/>
                </w:tcPr>
                <w:p>
                  <w:pPr>
                    <w:jc w:val="center"/>
                    <w:rPr>
                      <w:color w:val="0000FF"/>
                      <w:szCs w:val="21"/>
                    </w:rPr>
                  </w:pPr>
                </w:p>
              </w:tc>
              <w:tc>
                <w:tcPr>
                  <w:tcW w:w="1161" w:type="dxa"/>
                  <w:vMerge w:val="continue"/>
                  <w:vAlign w:val="center"/>
                </w:tcPr>
                <w:p>
                  <w:pPr>
                    <w:jc w:val="center"/>
                    <w:rPr>
                      <w:color w:val="0000FF"/>
                      <w:szCs w:val="21"/>
                    </w:rPr>
                  </w:pPr>
                </w:p>
              </w:tc>
              <w:tc>
                <w:tcPr>
                  <w:tcW w:w="780" w:type="dxa"/>
                  <w:vMerge w:val="continue"/>
                  <w:vAlign w:val="center"/>
                </w:tcPr>
                <w:p>
                  <w:pPr>
                    <w:jc w:val="center"/>
                    <w:rPr>
                      <w:color w:val="0000FF"/>
                      <w:szCs w:val="21"/>
                    </w:rPr>
                  </w:pPr>
                </w:p>
              </w:tc>
              <w:tc>
                <w:tcPr>
                  <w:tcW w:w="1289" w:type="dxa"/>
                  <w:vMerge w:val="continue"/>
                  <w:vAlign w:val="center"/>
                </w:tcPr>
                <w:p>
                  <w:pPr>
                    <w:jc w:val="center"/>
                    <w:rPr>
                      <w:color w:val="0000FF"/>
                      <w:szCs w:val="21"/>
                    </w:rPr>
                  </w:pPr>
                </w:p>
              </w:tc>
              <w:tc>
                <w:tcPr>
                  <w:tcW w:w="1066" w:type="dxa"/>
                  <w:vMerge w:val="continue"/>
                  <w:vAlign w:val="center"/>
                </w:tcPr>
                <w:p>
                  <w:pPr>
                    <w:jc w:val="center"/>
                    <w:rPr>
                      <w:color w:val="0000FF"/>
                      <w:szCs w:val="21"/>
                    </w:rPr>
                  </w:pPr>
                </w:p>
              </w:tc>
              <w:tc>
                <w:tcPr>
                  <w:tcW w:w="780" w:type="dxa"/>
                  <w:vAlign w:val="center"/>
                </w:tcPr>
                <w:p>
                  <w:pPr>
                    <w:jc w:val="center"/>
                    <w:rPr>
                      <w:color w:val="0000FF"/>
                      <w:szCs w:val="21"/>
                    </w:rPr>
                  </w:pPr>
                  <w:r>
                    <w:rPr>
                      <w:color w:val="0000FF"/>
                      <w:szCs w:val="21"/>
                    </w:rPr>
                    <w:t>其他</w:t>
                  </w:r>
                </w:p>
              </w:tc>
              <w:tc>
                <w:tcPr>
                  <w:tcW w:w="1163" w:type="dxa"/>
                  <w:vAlign w:val="center"/>
                </w:tcPr>
                <w:p>
                  <w:pPr>
                    <w:jc w:val="center"/>
                    <w:rPr>
                      <w:color w:val="0000FF"/>
                      <w:szCs w:val="21"/>
                    </w:rPr>
                  </w:pPr>
                  <w:r>
                    <w:rPr>
                      <w:color w:val="0000FF"/>
                      <w:szCs w:val="21"/>
                    </w:rPr>
                    <w:t>80</w:t>
                  </w:r>
                </w:p>
              </w:tc>
            </w:tr>
          </w:tbl>
          <w:p>
            <w:pPr>
              <w:spacing w:line="360" w:lineRule="auto"/>
              <w:ind w:firstLine="480" w:firstLineChars="200"/>
              <w:rPr>
                <w:color w:val="0000FF"/>
                <w:sz w:val="24"/>
              </w:rPr>
            </w:pPr>
            <w:r>
              <w:rPr>
                <w:rFonts w:hint="eastAsia"/>
                <w:color w:val="0000FF"/>
                <w:sz w:val="24"/>
              </w:rPr>
              <w:t>本项目运营期年产机制砂2</w:t>
            </w:r>
            <w:r>
              <w:rPr>
                <w:color w:val="0000FF"/>
                <w:sz w:val="24"/>
              </w:rPr>
              <w:t>.4</w:t>
            </w:r>
            <w:r>
              <w:rPr>
                <w:rFonts w:hint="eastAsia"/>
                <w:color w:val="0000FF"/>
                <w:sz w:val="24"/>
              </w:rPr>
              <w:t>万吨（</w:t>
            </w:r>
            <w:r>
              <w:rPr>
                <w:color w:val="0000FF"/>
                <w:sz w:val="24"/>
              </w:rPr>
              <w:t>80</w:t>
            </w:r>
            <w:r>
              <w:rPr>
                <w:rFonts w:hint="eastAsia"/>
                <w:color w:val="0000FF"/>
                <w:sz w:val="24"/>
              </w:rPr>
              <w:t>t/d），根据上表产排污系数，运营期破碎筛分环节粉尘产生量约4</w:t>
            </w:r>
            <w:r>
              <w:rPr>
                <w:color w:val="0000FF"/>
                <w:sz w:val="24"/>
              </w:rPr>
              <w:t>5.36</w:t>
            </w:r>
            <w:r>
              <w:rPr>
                <w:rFonts w:hint="eastAsia"/>
                <w:color w:val="0000FF"/>
                <w:sz w:val="24"/>
              </w:rPr>
              <w:t>t/a，1</w:t>
            </w:r>
            <w:r>
              <w:rPr>
                <w:color w:val="0000FF"/>
                <w:sz w:val="24"/>
              </w:rPr>
              <w:t>51.2</w:t>
            </w:r>
            <w:r>
              <w:rPr>
                <w:rFonts w:hint="eastAsia"/>
                <w:color w:val="0000FF"/>
                <w:sz w:val="24"/>
              </w:rPr>
              <w:t>kg</w:t>
            </w:r>
            <w:r>
              <w:rPr>
                <w:color w:val="0000FF"/>
                <w:sz w:val="24"/>
              </w:rPr>
              <w:t>/</w:t>
            </w:r>
            <w:r>
              <w:rPr>
                <w:rFonts w:hint="eastAsia"/>
                <w:color w:val="0000FF"/>
                <w:sz w:val="24"/>
              </w:rPr>
              <w:t>d，1</w:t>
            </w:r>
            <w:r>
              <w:rPr>
                <w:color w:val="0000FF"/>
                <w:sz w:val="24"/>
              </w:rPr>
              <w:t>8.9</w:t>
            </w:r>
            <w:r>
              <w:rPr>
                <w:rFonts w:hint="eastAsia"/>
                <w:color w:val="0000FF"/>
                <w:sz w:val="24"/>
              </w:rPr>
              <w:t>kg</w:t>
            </w:r>
            <w:r>
              <w:rPr>
                <w:color w:val="0000FF"/>
                <w:sz w:val="24"/>
              </w:rPr>
              <w:t>/</w:t>
            </w:r>
            <w:r>
              <w:rPr>
                <w:rFonts w:hint="eastAsia"/>
                <w:color w:val="0000FF"/>
                <w:sz w:val="24"/>
              </w:rPr>
              <w:t>h。本项目配置1台袋式除尘器对破碎筛分粉尘进行收集处理后通过1根1</w:t>
            </w:r>
            <w:r>
              <w:rPr>
                <w:color w:val="0000FF"/>
                <w:sz w:val="24"/>
              </w:rPr>
              <w:t>5</w:t>
            </w:r>
            <w:r>
              <w:rPr>
                <w:rFonts w:hint="eastAsia"/>
                <w:color w:val="0000FF"/>
                <w:sz w:val="24"/>
              </w:rPr>
              <w:t>m高排气筒（DA</w:t>
            </w:r>
            <w:r>
              <w:rPr>
                <w:color w:val="0000FF"/>
                <w:sz w:val="24"/>
              </w:rPr>
              <w:t>001</w:t>
            </w:r>
            <w:r>
              <w:rPr>
                <w:rFonts w:hint="eastAsia"/>
                <w:color w:val="0000FF"/>
                <w:sz w:val="24"/>
              </w:rPr>
              <w:t>）进行有组织排放，排风机设计风量3</w:t>
            </w:r>
            <w:r>
              <w:rPr>
                <w:color w:val="0000FF"/>
                <w:sz w:val="24"/>
              </w:rPr>
              <w:t>000</w:t>
            </w:r>
            <w:r>
              <w:rPr>
                <w:rFonts w:hint="eastAsia"/>
                <w:color w:val="0000FF"/>
                <w:sz w:val="24"/>
              </w:rPr>
              <w:t>m³</w:t>
            </w:r>
            <w:r>
              <w:rPr>
                <w:color w:val="0000FF"/>
                <w:sz w:val="24"/>
              </w:rPr>
              <w:t>/</w:t>
            </w:r>
            <w:r>
              <w:rPr>
                <w:rFonts w:hint="eastAsia"/>
                <w:color w:val="0000FF"/>
                <w:sz w:val="24"/>
              </w:rPr>
              <w:t>h。</w:t>
            </w:r>
          </w:p>
          <w:p>
            <w:pPr>
              <w:jc w:val="center"/>
              <w:rPr>
                <w:b/>
                <w:color w:val="0000FF"/>
                <w:sz w:val="24"/>
              </w:rPr>
            </w:pPr>
            <w:r>
              <w:rPr>
                <w:rFonts w:hint="eastAsia"/>
                <w:b/>
                <w:color w:val="0000FF"/>
                <w:sz w:val="24"/>
              </w:rPr>
              <w:t>表4</w:t>
            </w:r>
            <w:r>
              <w:rPr>
                <w:b/>
                <w:color w:val="0000FF"/>
                <w:sz w:val="24"/>
              </w:rPr>
              <w:t xml:space="preserve">.6-5  </w:t>
            </w:r>
            <w:r>
              <w:rPr>
                <w:rFonts w:hint="eastAsia"/>
                <w:b/>
                <w:color w:val="0000FF"/>
                <w:sz w:val="24"/>
              </w:rPr>
              <w:t>破碎筛分粉尘产排情况一览表</w:t>
            </w:r>
          </w:p>
          <w:tbl>
            <w:tblPr>
              <w:tblStyle w:val="3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26"/>
              <w:gridCol w:w="1067"/>
              <w:gridCol w:w="410"/>
              <w:gridCol w:w="1160"/>
              <w:gridCol w:w="645"/>
              <w:gridCol w:w="861"/>
              <w:gridCol w:w="1027"/>
              <w:gridCol w:w="1189"/>
              <w:gridCol w:w="10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193" w:type="pct"/>
                  <w:gridSpan w:val="2"/>
                  <w:vAlign w:val="center"/>
                </w:tcPr>
                <w:p>
                  <w:pPr>
                    <w:jc w:val="center"/>
                    <w:rPr>
                      <w:b/>
                      <w:color w:val="0000FF"/>
                      <w:szCs w:val="21"/>
                    </w:rPr>
                  </w:pPr>
                  <w:r>
                    <w:rPr>
                      <w:rFonts w:hint="eastAsia"/>
                      <w:b/>
                      <w:color w:val="0000FF"/>
                      <w:szCs w:val="21"/>
                    </w:rPr>
                    <w:t>产生情况</w:t>
                  </w:r>
                </w:p>
              </w:tc>
              <w:tc>
                <w:tcPr>
                  <w:tcW w:w="1387" w:type="pct"/>
                  <w:gridSpan w:val="3"/>
                  <w:vAlign w:val="center"/>
                </w:tcPr>
                <w:p>
                  <w:pPr>
                    <w:jc w:val="center"/>
                    <w:rPr>
                      <w:b/>
                      <w:color w:val="0000FF"/>
                      <w:szCs w:val="21"/>
                    </w:rPr>
                  </w:pPr>
                  <w:r>
                    <w:rPr>
                      <w:rFonts w:hint="eastAsia"/>
                      <w:b/>
                      <w:color w:val="0000FF"/>
                      <w:szCs w:val="21"/>
                    </w:rPr>
                    <w:t>治理措施</w:t>
                  </w:r>
                </w:p>
              </w:tc>
              <w:tc>
                <w:tcPr>
                  <w:tcW w:w="2420" w:type="pct"/>
                  <w:gridSpan w:val="4"/>
                  <w:vAlign w:val="center"/>
                </w:tcPr>
                <w:p>
                  <w:pPr>
                    <w:jc w:val="center"/>
                    <w:rPr>
                      <w:b/>
                      <w:color w:val="0000FF"/>
                      <w:szCs w:val="21"/>
                    </w:rPr>
                  </w:pPr>
                  <w:r>
                    <w:rPr>
                      <w:rFonts w:hint="eastAsia"/>
                      <w:b/>
                      <w:color w:val="0000FF"/>
                      <w:szCs w:val="21"/>
                    </w:rPr>
                    <w:t>排放情况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78" w:type="pct"/>
                  <w:vAlign w:val="center"/>
                </w:tcPr>
                <w:p>
                  <w:pPr>
                    <w:jc w:val="center"/>
                    <w:rPr>
                      <w:b/>
                      <w:color w:val="0000FF"/>
                      <w:szCs w:val="21"/>
                    </w:rPr>
                  </w:pPr>
                  <w:r>
                    <w:rPr>
                      <w:rFonts w:hint="eastAsia"/>
                      <w:b/>
                      <w:color w:val="0000FF"/>
                      <w:szCs w:val="21"/>
                    </w:rPr>
                    <w:t>产生量</w:t>
                  </w:r>
                </w:p>
              </w:tc>
              <w:tc>
                <w:tcPr>
                  <w:tcW w:w="615" w:type="pct"/>
                  <w:vAlign w:val="center"/>
                </w:tcPr>
                <w:p>
                  <w:pPr>
                    <w:jc w:val="center"/>
                    <w:rPr>
                      <w:b/>
                      <w:color w:val="0000FF"/>
                      <w:szCs w:val="21"/>
                    </w:rPr>
                  </w:pPr>
                  <w:r>
                    <w:rPr>
                      <w:rFonts w:hint="eastAsia"/>
                      <w:b/>
                      <w:color w:val="0000FF"/>
                      <w:szCs w:val="21"/>
                    </w:rPr>
                    <w:t>产生速率</w:t>
                  </w:r>
                </w:p>
              </w:tc>
              <w:tc>
                <w:tcPr>
                  <w:tcW w:w="274" w:type="pct"/>
                  <w:vAlign w:val="center"/>
                </w:tcPr>
                <w:p>
                  <w:pPr>
                    <w:jc w:val="center"/>
                    <w:rPr>
                      <w:b/>
                      <w:color w:val="0000FF"/>
                      <w:szCs w:val="21"/>
                    </w:rPr>
                  </w:pPr>
                  <w:r>
                    <w:rPr>
                      <w:rFonts w:hint="eastAsia"/>
                      <w:b/>
                      <w:color w:val="0000FF"/>
                      <w:szCs w:val="21"/>
                    </w:rPr>
                    <w:t>治理设施</w:t>
                  </w:r>
                </w:p>
              </w:tc>
              <w:tc>
                <w:tcPr>
                  <w:tcW w:w="727" w:type="pct"/>
                  <w:vAlign w:val="center"/>
                </w:tcPr>
                <w:p>
                  <w:pPr>
                    <w:jc w:val="center"/>
                    <w:rPr>
                      <w:b/>
                      <w:color w:val="0000FF"/>
                      <w:szCs w:val="21"/>
                    </w:rPr>
                  </w:pPr>
                  <w:r>
                    <w:rPr>
                      <w:rFonts w:hint="eastAsia"/>
                      <w:b/>
                      <w:color w:val="0000FF"/>
                      <w:szCs w:val="21"/>
                    </w:rPr>
                    <w:t>风机风量</w:t>
                  </w:r>
                </w:p>
              </w:tc>
              <w:tc>
                <w:tcPr>
                  <w:tcW w:w="386" w:type="pct"/>
                  <w:vAlign w:val="center"/>
                </w:tcPr>
                <w:p>
                  <w:pPr>
                    <w:jc w:val="center"/>
                    <w:rPr>
                      <w:b/>
                      <w:color w:val="0000FF"/>
                      <w:szCs w:val="21"/>
                    </w:rPr>
                  </w:pPr>
                  <w:r>
                    <w:rPr>
                      <w:rFonts w:hint="eastAsia"/>
                      <w:b/>
                      <w:color w:val="0000FF"/>
                      <w:szCs w:val="21"/>
                    </w:rPr>
                    <w:t>去除率</w:t>
                  </w:r>
                </w:p>
              </w:tc>
              <w:tc>
                <w:tcPr>
                  <w:tcW w:w="537" w:type="pct"/>
                  <w:vAlign w:val="center"/>
                </w:tcPr>
                <w:p>
                  <w:pPr>
                    <w:jc w:val="center"/>
                    <w:rPr>
                      <w:b/>
                      <w:color w:val="0000FF"/>
                      <w:szCs w:val="21"/>
                    </w:rPr>
                  </w:pPr>
                  <w:r>
                    <w:rPr>
                      <w:rFonts w:hint="eastAsia"/>
                      <w:b/>
                      <w:color w:val="0000FF"/>
                      <w:szCs w:val="21"/>
                    </w:rPr>
                    <w:t>排放口</w:t>
                  </w:r>
                </w:p>
              </w:tc>
              <w:tc>
                <w:tcPr>
                  <w:tcW w:w="578" w:type="pct"/>
                  <w:vAlign w:val="center"/>
                </w:tcPr>
                <w:p>
                  <w:pPr>
                    <w:jc w:val="center"/>
                    <w:rPr>
                      <w:b/>
                      <w:color w:val="0000FF"/>
                      <w:szCs w:val="21"/>
                    </w:rPr>
                  </w:pPr>
                  <w:r>
                    <w:rPr>
                      <w:rFonts w:hint="eastAsia"/>
                      <w:b/>
                      <w:color w:val="0000FF"/>
                      <w:szCs w:val="21"/>
                    </w:rPr>
                    <w:t>排放量</w:t>
                  </w:r>
                </w:p>
              </w:tc>
              <w:tc>
                <w:tcPr>
                  <w:tcW w:w="683" w:type="pct"/>
                  <w:vAlign w:val="center"/>
                </w:tcPr>
                <w:p>
                  <w:pPr>
                    <w:jc w:val="center"/>
                    <w:rPr>
                      <w:b/>
                      <w:color w:val="0000FF"/>
                      <w:szCs w:val="21"/>
                    </w:rPr>
                  </w:pPr>
                  <w:r>
                    <w:rPr>
                      <w:rFonts w:hint="eastAsia"/>
                      <w:b/>
                      <w:color w:val="0000FF"/>
                      <w:szCs w:val="21"/>
                    </w:rPr>
                    <w:t>排放速率</w:t>
                  </w:r>
                </w:p>
              </w:tc>
              <w:tc>
                <w:tcPr>
                  <w:tcW w:w="623" w:type="pct"/>
                  <w:vAlign w:val="center"/>
                </w:tcPr>
                <w:p>
                  <w:pPr>
                    <w:jc w:val="center"/>
                    <w:rPr>
                      <w:b/>
                      <w:color w:val="0000FF"/>
                      <w:szCs w:val="21"/>
                    </w:rPr>
                  </w:pPr>
                  <w:r>
                    <w:rPr>
                      <w:rFonts w:hint="eastAsia"/>
                      <w:b/>
                      <w:color w:val="0000FF"/>
                      <w:szCs w:val="21"/>
                    </w:rPr>
                    <w:t>排放浓度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78" w:type="pct"/>
                  <w:vAlign w:val="center"/>
                </w:tcPr>
                <w:p>
                  <w:pPr>
                    <w:jc w:val="center"/>
                    <w:rPr>
                      <w:color w:val="0000FF"/>
                      <w:szCs w:val="21"/>
                    </w:rPr>
                  </w:pPr>
                  <w:r>
                    <w:rPr>
                      <w:color w:val="0000FF"/>
                      <w:szCs w:val="21"/>
                    </w:rPr>
                    <w:t>45.36t/a</w:t>
                  </w:r>
                </w:p>
              </w:tc>
              <w:tc>
                <w:tcPr>
                  <w:tcW w:w="615" w:type="pct"/>
                  <w:vAlign w:val="center"/>
                </w:tcPr>
                <w:p>
                  <w:pPr>
                    <w:jc w:val="center"/>
                    <w:rPr>
                      <w:color w:val="0000FF"/>
                      <w:szCs w:val="21"/>
                    </w:rPr>
                  </w:pPr>
                  <w:r>
                    <w:rPr>
                      <w:color w:val="0000FF"/>
                      <w:szCs w:val="21"/>
                    </w:rPr>
                    <w:t>18.9kg/h</w:t>
                  </w:r>
                </w:p>
              </w:tc>
              <w:tc>
                <w:tcPr>
                  <w:tcW w:w="274" w:type="pct"/>
                  <w:vAlign w:val="center"/>
                </w:tcPr>
                <w:p>
                  <w:pPr>
                    <w:jc w:val="center"/>
                    <w:rPr>
                      <w:color w:val="0000FF"/>
                      <w:szCs w:val="21"/>
                    </w:rPr>
                  </w:pPr>
                  <w:r>
                    <w:rPr>
                      <w:rFonts w:hint="eastAsia"/>
                      <w:color w:val="0000FF"/>
                      <w:szCs w:val="21"/>
                    </w:rPr>
                    <w:t>布袋除尘器</w:t>
                  </w:r>
                </w:p>
              </w:tc>
              <w:tc>
                <w:tcPr>
                  <w:tcW w:w="727" w:type="pct"/>
                  <w:vAlign w:val="center"/>
                </w:tcPr>
                <w:p>
                  <w:pPr>
                    <w:jc w:val="center"/>
                    <w:rPr>
                      <w:color w:val="0000FF"/>
                      <w:szCs w:val="21"/>
                    </w:rPr>
                  </w:pPr>
                  <w:r>
                    <w:rPr>
                      <w:color w:val="0000FF"/>
                      <w:szCs w:val="21"/>
                    </w:rPr>
                    <w:t>3000m³/h</w:t>
                  </w:r>
                </w:p>
              </w:tc>
              <w:tc>
                <w:tcPr>
                  <w:tcW w:w="386" w:type="pct"/>
                  <w:vAlign w:val="center"/>
                </w:tcPr>
                <w:p>
                  <w:pPr>
                    <w:jc w:val="center"/>
                    <w:rPr>
                      <w:color w:val="0000FF"/>
                      <w:szCs w:val="21"/>
                    </w:rPr>
                  </w:pPr>
                  <w:r>
                    <w:rPr>
                      <w:rFonts w:hint="eastAsia"/>
                      <w:color w:val="0000FF"/>
                      <w:szCs w:val="21"/>
                    </w:rPr>
                    <w:t>9</w:t>
                  </w:r>
                  <w:r>
                    <w:rPr>
                      <w:color w:val="0000FF"/>
                      <w:szCs w:val="21"/>
                    </w:rPr>
                    <w:t>9%</w:t>
                  </w:r>
                </w:p>
              </w:tc>
              <w:tc>
                <w:tcPr>
                  <w:tcW w:w="537" w:type="pct"/>
                  <w:vAlign w:val="center"/>
                </w:tcPr>
                <w:p>
                  <w:pPr>
                    <w:jc w:val="center"/>
                    <w:rPr>
                      <w:color w:val="0000FF"/>
                      <w:szCs w:val="21"/>
                    </w:rPr>
                  </w:pPr>
                  <w:r>
                    <w:rPr>
                      <w:rFonts w:hint="eastAsia"/>
                      <w:color w:val="0000FF"/>
                      <w:szCs w:val="21"/>
                    </w:rPr>
                    <w:t>DA</w:t>
                  </w:r>
                  <w:r>
                    <w:rPr>
                      <w:color w:val="0000FF"/>
                      <w:szCs w:val="21"/>
                    </w:rPr>
                    <w:t>001</w:t>
                  </w:r>
                </w:p>
              </w:tc>
              <w:tc>
                <w:tcPr>
                  <w:tcW w:w="578" w:type="pct"/>
                  <w:vAlign w:val="center"/>
                </w:tcPr>
                <w:p>
                  <w:pPr>
                    <w:jc w:val="center"/>
                    <w:rPr>
                      <w:color w:val="0000FF"/>
                      <w:szCs w:val="21"/>
                    </w:rPr>
                  </w:pPr>
                  <w:r>
                    <w:rPr>
                      <w:rFonts w:hint="eastAsia"/>
                      <w:color w:val="0000FF"/>
                      <w:szCs w:val="21"/>
                    </w:rPr>
                    <w:t>0</w:t>
                  </w:r>
                  <w:r>
                    <w:rPr>
                      <w:color w:val="0000FF"/>
                      <w:szCs w:val="21"/>
                    </w:rPr>
                    <w:t>.454t/a</w:t>
                  </w:r>
                </w:p>
              </w:tc>
              <w:tc>
                <w:tcPr>
                  <w:tcW w:w="683" w:type="pct"/>
                  <w:vAlign w:val="center"/>
                </w:tcPr>
                <w:p>
                  <w:pPr>
                    <w:jc w:val="center"/>
                    <w:rPr>
                      <w:color w:val="0000FF"/>
                      <w:szCs w:val="21"/>
                    </w:rPr>
                  </w:pPr>
                  <w:r>
                    <w:rPr>
                      <w:rFonts w:hint="eastAsia"/>
                      <w:color w:val="0000FF"/>
                      <w:szCs w:val="21"/>
                    </w:rPr>
                    <w:t>0</w:t>
                  </w:r>
                  <w:r>
                    <w:rPr>
                      <w:color w:val="0000FF"/>
                      <w:szCs w:val="21"/>
                    </w:rPr>
                    <w:t>.189kg/h</w:t>
                  </w:r>
                </w:p>
              </w:tc>
              <w:tc>
                <w:tcPr>
                  <w:tcW w:w="623" w:type="pct"/>
                  <w:vAlign w:val="center"/>
                </w:tcPr>
                <w:p>
                  <w:pPr>
                    <w:jc w:val="center"/>
                    <w:rPr>
                      <w:color w:val="0000FF"/>
                      <w:szCs w:val="21"/>
                    </w:rPr>
                  </w:pPr>
                  <w:r>
                    <w:rPr>
                      <w:color w:val="0000FF"/>
                      <w:szCs w:val="21"/>
                    </w:rPr>
                    <w:t>63</w:t>
                  </w:r>
                  <w:r>
                    <w:rPr>
                      <w:rFonts w:hint="eastAsia"/>
                      <w:color w:val="0000FF"/>
                      <w:szCs w:val="21"/>
                    </w:rPr>
                    <w:t>mg</w:t>
                  </w:r>
                  <w:r>
                    <w:rPr>
                      <w:color w:val="0000FF"/>
                      <w:szCs w:val="21"/>
                    </w:rPr>
                    <w:t>/</w:t>
                  </w:r>
                  <w:r>
                    <w:rPr>
                      <w:rFonts w:hint="eastAsia"/>
                      <w:color w:val="0000FF"/>
                      <w:szCs w:val="21"/>
                    </w:rPr>
                    <w:t>m³</w:t>
                  </w:r>
                </w:p>
              </w:tc>
            </w:tr>
            <w:bookmarkEnd w:id="50"/>
          </w:tbl>
          <w:p>
            <w:pPr>
              <w:spacing w:line="360" w:lineRule="auto"/>
              <w:ind w:firstLine="481" w:firstLineChars="200"/>
              <w:rPr>
                <w:b/>
                <w:sz w:val="24"/>
              </w:rPr>
            </w:pPr>
            <w:r>
              <w:rPr>
                <w:rFonts w:hint="eastAsia"/>
                <w:b/>
                <w:sz w:val="24"/>
              </w:rPr>
              <w:t>（</w:t>
            </w:r>
            <w:r>
              <w:rPr>
                <w:b/>
                <w:sz w:val="24"/>
              </w:rPr>
              <w:t>4</w:t>
            </w:r>
            <w:r>
              <w:rPr>
                <w:rFonts w:hint="eastAsia"/>
                <w:b/>
                <w:sz w:val="24"/>
              </w:rPr>
              <w:t>）机械尾气</w:t>
            </w:r>
          </w:p>
          <w:p>
            <w:pPr>
              <w:spacing w:line="360" w:lineRule="auto"/>
              <w:ind w:firstLine="480" w:firstLineChars="200"/>
              <w:rPr>
                <w:sz w:val="24"/>
              </w:rPr>
            </w:pPr>
            <w:r>
              <w:rPr>
                <w:rFonts w:hint="eastAsia"/>
                <w:sz w:val="24"/>
              </w:rPr>
              <w:t>项目运营期原料及成品运输过程中会产生一定量的机械尾气，机械尾气中主要污染物为总经、NOx和CO，浓度视汽车发动机的燃烧情况而异，机械尾气排放呈分散、无规律、无组织、自然扩散的排放形式，排放量较小，污染物不易积累，因此不做定量计算。</w:t>
            </w:r>
          </w:p>
          <w:p>
            <w:pPr>
              <w:spacing w:line="360" w:lineRule="auto"/>
              <w:ind w:firstLine="481" w:firstLineChars="200"/>
              <w:rPr>
                <w:b/>
                <w:sz w:val="24"/>
              </w:rPr>
            </w:pPr>
            <w:r>
              <w:rPr>
                <w:rFonts w:hint="eastAsia"/>
                <w:b/>
                <w:sz w:val="24"/>
              </w:rPr>
              <w:t>（5）油烟废气</w:t>
            </w:r>
          </w:p>
          <w:p>
            <w:pPr>
              <w:spacing w:line="360" w:lineRule="auto"/>
              <w:ind w:firstLine="480" w:firstLineChars="200"/>
              <w:rPr>
                <w:sz w:val="24"/>
              </w:rPr>
            </w:pPr>
            <w:r>
              <w:rPr>
                <w:rFonts w:hint="eastAsia"/>
                <w:sz w:val="24"/>
              </w:rPr>
              <w:t>本项目员工共</w:t>
            </w:r>
            <w:r>
              <w:rPr>
                <w:sz w:val="24"/>
              </w:rPr>
              <w:t>5</w:t>
            </w:r>
            <w:r>
              <w:rPr>
                <w:rFonts w:hint="eastAsia"/>
                <w:sz w:val="24"/>
              </w:rPr>
              <w:t>人，均在食堂就餐，食堂在进行炊事活动过程中产生油烟废气。项目食堂使用的能源主要为电能，为清洁能源，无废气产生。根据《中国居民膳食指南2007》，人均耗油量以30g</w:t>
            </w:r>
            <w:r>
              <w:rPr>
                <w:sz w:val="24"/>
              </w:rPr>
              <w:t>/</w:t>
            </w:r>
            <w:r>
              <w:rPr>
                <w:rFonts w:hint="eastAsia"/>
                <w:sz w:val="24"/>
              </w:rPr>
              <w:t>人·d计，，则本项目耗油量为</w:t>
            </w:r>
            <w:r>
              <w:rPr>
                <w:sz w:val="24"/>
              </w:rPr>
              <w:t>45.0</w:t>
            </w:r>
            <w:r>
              <w:rPr>
                <w:rFonts w:hint="eastAsia"/>
                <w:sz w:val="24"/>
              </w:rPr>
              <w:t>kg/a。根据不同的烧炸工况，油烟气中烟气浓度及挥发量均有所不同，一般油烟挥发量占总耗油量的2%-4%，本项目取3%，则本项目油烟产生量为1</w:t>
            </w:r>
            <w:r>
              <w:rPr>
                <w:sz w:val="24"/>
              </w:rPr>
              <w:t>.35</w:t>
            </w:r>
            <w:r>
              <w:rPr>
                <w:rFonts w:hint="eastAsia"/>
                <w:sz w:val="24"/>
              </w:rPr>
              <w:t>kg/a，</w:t>
            </w:r>
            <w:r>
              <w:rPr>
                <w:sz w:val="24"/>
              </w:rPr>
              <w:t>0.00225</w:t>
            </w:r>
            <w:r>
              <w:rPr>
                <w:rFonts w:hint="eastAsia"/>
                <w:sz w:val="24"/>
              </w:rPr>
              <w:t>kg</w:t>
            </w:r>
            <w:r>
              <w:rPr>
                <w:sz w:val="24"/>
              </w:rPr>
              <w:t>/</w:t>
            </w:r>
            <w:r>
              <w:rPr>
                <w:rFonts w:hint="eastAsia"/>
                <w:sz w:val="24"/>
              </w:rPr>
              <w:t>h（炊事活动按2h</w:t>
            </w:r>
            <w:r>
              <w:rPr>
                <w:sz w:val="24"/>
              </w:rPr>
              <w:t>/</w:t>
            </w:r>
            <w:r>
              <w:rPr>
                <w:rFonts w:hint="eastAsia"/>
                <w:sz w:val="24"/>
              </w:rPr>
              <w:t>d计）。</w:t>
            </w:r>
          </w:p>
          <w:p>
            <w:pPr>
              <w:spacing w:line="360" w:lineRule="auto"/>
              <w:ind w:firstLine="480" w:firstLineChars="200"/>
              <w:rPr>
                <w:sz w:val="24"/>
              </w:rPr>
            </w:pPr>
            <w:r>
              <w:rPr>
                <w:rFonts w:hint="eastAsia"/>
                <w:sz w:val="24"/>
              </w:rPr>
              <w:t>环评要求建设单位于厨房内配置抽油烟机1台，炊事活动期间油烟经抽烟机抽排后无组织排入外环境。</w:t>
            </w:r>
          </w:p>
          <w:bookmarkEnd w:id="49"/>
          <w:p>
            <w:pPr>
              <w:spacing w:line="360" w:lineRule="auto"/>
              <w:ind w:firstLine="480" w:firstLineChars="200"/>
              <w:rPr>
                <w:sz w:val="24"/>
              </w:rPr>
            </w:pPr>
            <w:r>
              <w:rPr>
                <w:rFonts w:hint="eastAsia"/>
                <w:sz w:val="24"/>
              </w:rPr>
              <w:t>项目运行期大气污染物产排量核算如下：</w:t>
            </w:r>
          </w:p>
          <w:p>
            <w:pPr>
              <w:jc w:val="center"/>
              <w:rPr>
                <w:b/>
                <w:color w:val="0000FF"/>
                <w:sz w:val="24"/>
              </w:rPr>
            </w:pPr>
            <w:r>
              <w:rPr>
                <w:rFonts w:hint="eastAsia"/>
                <w:b/>
                <w:color w:val="0000FF"/>
                <w:sz w:val="24"/>
              </w:rPr>
              <w:t>表4</w:t>
            </w:r>
            <w:r>
              <w:rPr>
                <w:b/>
                <w:color w:val="0000FF"/>
                <w:sz w:val="24"/>
              </w:rPr>
              <w:t xml:space="preserve">.6-6  </w:t>
            </w:r>
            <w:r>
              <w:rPr>
                <w:rFonts w:hint="eastAsia"/>
                <w:b/>
                <w:color w:val="0000FF"/>
                <w:sz w:val="24"/>
              </w:rPr>
              <w:t>大气污染物源强核算结果一览表</w:t>
            </w:r>
          </w:p>
          <w:tbl>
            <w:tblPr>
              <w:tblStyle w:val="3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25"/>
              <w:gridCol w:w="1285"/>
              <w:gridCol w:w="1128"/>
              <w:gridCol w:w="1267"/>
              <w:gridCol w:w="1085"/>
              <w:gridCol w:w="1132"/>
              <w:gridCol w:w="13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000" w:type="dxa"/>
                  <w:vMerge w:val="restart"/>
                  <w:vAlign w:val="center"/>
                </w:tcPr>
                <w:p>
                  <w:pPr>
                    <w:jc w:val="center"/>
                    <w:rPr>
                      <w:b/>
                      <w:color w:val="0000FF"/>
                      <w:szCs w:val="21"/>
                    </w:rPr>
                  </w:pPr>
                  <w:r>
                    <w:rPr>
                      <w:rFonts w:hint="eastAsia"/>
                      <w:b/>
                      <w:color w:val="0000FF"/>
                      <w:szCs w:val="21"/>
                    </w:rPr>
                    <w:t>污染物</w:t>
                  </w:r>
                </w:p>
              </w:tc>
              <w:tc>
                <w:tcPr>
                  <w:tcW w:w="1285" w:type="dxa"/>
                  <w:vMerge w:val="restart"/>
                  <w:vAlign w:val="center"/>
                </w:tcPr>
                <w:p>
                  <w:pPr>
                    <w:jc w:val="center"/>
                    <w:rPr>
                      <w:b/>
                      <w:color w:val="0000FF"/>
                      <w:szCs w:val="21"/>
                    </w:rPr>
                  </w:pPr>
                  <w:r>
                    <w:rPr>
                      <w:rFonts w:hint="eastAsia"/>
                      <w:b/>
                      <w:color w:val="0000FF"/>
                      <w:szCs w:val="21"/>
                    </w:rPr>
                    <w:t>产污环节</w:t>
                  </w:r>
                </w:p>
              </w:tc>
              <w:tc>
                <w:tcPr>
                  <w:tcW w:w="2395" w:type="dxa"/>
                  <w:gridSpan w:val="2"/>
                  <w:vAlign w:val="center"/>
                </w:tcPr>
                <w:p>
                  <w:pPr>
                    <w:jc w:val="center"/>
                    <w:rPr>
                      <w:b/>
                      <w:color w:val="0000FF"/>
                      <w:szCs w:val="21"/>
                    </w:rPr>
                  </w:pPr>
                  <w:r>
                    <w:rPr>
                      <w:rFonts w:hint="eastAsia"/>
                      <w:b/>
                      <w:color w:val="0000FF"/>
                      <w:szCs w:val="21"/>
                    </w:rPr>
                    <w:t>产生情况</w:t>
                  </w:r>
                </w:p>
              </w:tc>
              <w:tc>
                <w:tcPr>
                  <w:tcW w:w="2142" w:type="dxa"/>
                  <w:gridSpan w:val="2"/>
                  <w:vAlign w:val="center"/>
                </w:tcPr>
                <w:p>
                  <w:pPr>
                    <w:jc w:val="center"/>
                    <w:rPr>
                      <w:b/>
                      <w:color w:val="0000FF"/>
                      <w:szCs w:val="21"/>
                    </w:rPr>
                  </w:pPr>
                  <w:r>
                    <w:rPr>
                      <w:rFonts w:hint="eastAsia"/>
                      <w:b/>
                      <w:color w:val="0000FF"/>
                      <w:szCs w:val="21"/>
                    </w:rPr>
                    <w:t>排放情况</w:t>
                  </w:r>
                </w:p>
              </w:tc>
              <w:tc>
                <w:tcPr>
                  <w:tcW w:w="1338" w:type="dxa"/>
                  <w:vMerge w:val="restart"/>
                  <w:vAlign w:val="center"/>
                </w:tcPr>
                <w:p>
                  <w:pPr>
                    <w:jc w:val="center"/>
                    <w:rPr>
                      <w:b/>
                      <w:color w:val="0000FF"/>
                      <w:szCs w:val="21"/>
                    </w:rPr>
                  </w:pPr>
                  <w:r>
                    <w:rPr>
                      <w:rFonts w:hint="eastAsia"/>
                      <w:b/>
                      <w:color w:val="0000FF"/>
                      <w:szCs w:val="21"/>
                    </w:rPr>
                    <w:t>排放形式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000" w:type="dxa"/>
                  <w:vMerge w:val="continue"/>
                  <w:vAlign w:val="center"/>
                </w:tcPr>
                <w:p>
                  <w:pPr>
                    <w:jc w:val="center"/>
                    <w:rPr>
                      <w:b/>
                      <w:color w:val="0000FF"/>
                      <w:szCs w:val="21"/>
                    </w:rPr>
                  </w:pPr>
                </w:p>
              </w:tc>
              <w:tc>
                <w:tcPr>
                  <w:tcW w:w="1285" w:type="dxa"/>
                  <w:vMerge w:val="continue"/>
                  <w:vAlign w:val="center"/>
                </w:tcPr>
                <w:p>
                  <w:pPr>
                    <w:jc w:val="center"/>
                    <w:rPr>
                      <w:b/>
                      <w:color w:val="0000FF"/>
                      <w:szCs w:val="21"/>
                    </w:rPr>
                  </w:pPr>
                </w:p>
              </w:tc>
              <w:tc>
                <w:tcPr>
                  <w:tcW w:w="1128" w:type="dxa"/>
                  <w:vAlign w:val="center"/>
                </w:tcPr>
                <w:p>
                  <w:pPr>
                    <w:jc w:val="center"/>
                    <w:rPr>
                      <w:b/>
                      <w:color w:val="0000FF"/>
                      <w:szCs w:val="21"/>
                    </w:rPr>
                  </w:pPr>
                  <w:r>
                    <w:rPr>
                      <w:rFonts w:hint="eastAsia"/>
                      <w:b/>
                      <w:color w:val="0000FF"/>
                      <w:szCs w:val="21"/>
                    </w:rPr>
                    <w:t>产生量t/a</w:t>
                  </w:r>
                </w:p>
              </w:tc>
              <w:tc>
                <w:tcPr>
                  <w:tcW w:w="1267" w:type="dxa"/>
                  <w:vAlign w:val="center"/>
                </w:tcPr>
                <w:p>
                  <w:pPr>
                    <w:jc w:val="center"/>
                    <w:rPr>
                      <w:b/>
                      <w:color w:val="0000FF"/>
                      <w:szCs w:val="21"/>
                    </w:rPr>
                  </w:pPr>
                  <w:r>
                    <w:rPr>
                      <w:rFonts w:hint="eastAsia"/>
                      <w:b/>
                      <w:color w:val="0000FF"/>
                      <w:szCs w:val="21"/>
                    </w:rPr>
                    <w:t>产生速率kg</w:t>
                  </w:r>
                  <w:r>
                    <w:rPr>
                      <w:b/>
                      <w:color w:val="0000FF"/>
                      <w:szCs w:val="21"/>
                    </w:rPr>
                    <w:t>/</w:t>
                  </w:r>
                  <w:r>
                    <w:rPr>
                      <w:rFonts w:hint="eastAsia"/>
                      <w:b/>
                      <w:color w:val="0000FF"/>
                      <w:szCs w:val="21"/>
                    </w:rPr>
                    <w:t>h</w:t>
                  </w:r>
                </w:p>
              </w:tc>
              <w:tc>
                <w:tcPr>
                  <w:tcW w:w="1010" w:type="dxa"/>
                  <w:vAlign w:val="center"/>
                </w:tcPr>
                <w:p>
                  <w:pPr>
                    <w:jc w:val="center"/>
                    <w:rPr>
                      <w:b/>
                      <w:color w:val="0000FF"/>
                      <w:szCs w:val="21"/>
                    </w:rPr>
                  </w:pPr>
                  <w:r>
                    <w:rPr>
                      <w:rFonts w:hint="eastAsia"/>
                      <w:b/>
                      <w:color w:val="0000FF"/>
                      <w:szCs w:val="21"/>
                    </w:rPr>
                    <w:t>排放量t/a</w:t>
                  </w:r>
                </w:p>
              </w:tc>
              <w:tc>
                <w:tcPr>
                  <w:tcW w:w="1132" w:type="dxa"/>
                  <w:vAlign w:val="center"/>
                </w:tcPr>
                <w:p>
                  <w:pPr>
                    <w:jc w:val="center"/>
                    <w:rPr>
                      <w:b/>
                      <w:color w:val="0000FF"/>
                      <w:szCs w:val="21"/>
                    </w:rPr>
                  </w:pPr>
                  <w:r>
                    <w:rPr>
                      <w:rFonts w:hint="eastAsia"/>
                      <w:b/>
                      <w:color w:val="0000FF"/>
                      <w:szCs w:val="21"/>
                    </w:rPr>
                    <w:t>排放速率kg</w:t>
                  </w:r>
                  <w:r>
                    <w:rPr>
                      <w:b/>
                      <w:color w:val="0000FF"/>
                      <w:szCs w:val="21"/>
                    </w:rPr>
                    <w:t>/</w:t>
                  </w:r>
                  <w:r>
                    <w:rPr>
                      <w:rFonts w:hint="eastAsia"/>
                      <w:b/>
                      <w:color w:val="0000FF"/>
                      <w:szCs w:val="21"/>
                    </w:rPr>
                    <w:t>h</w:t>
                  </w:r>
                </w:p>
              </w:tc>
              <w:tc>
                <w:tcPr>
                  <w:tcW w:w="1338" w:type="dxa"/>
                  <w:vMerge w:val="continue"/>
                  <w:vAlign w:val="center"/>
                </w:tcPr>
                <w:p>
                  <w:pPr>
                    <w:jc w:val="center"/>
                    <w:rPr>
                      <w:b/>
                      <w:color w:val="0000FF"/>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000" w:type="dxa"/>
                  <w:vMerge w:val="restart"/>
                  <w:vAlign w:val="center"/>
                </w:tcPr>
                <w:p>
                  <w:pPr>
                    <w:jc w:val="center"/>
                    <w:rPr>
                      <w:color w:val="0000FF"/>
                      <w:szCs w:val="21"/>
                    </w:rPr>
                  </w:pPr>
                  <w:r>
                    <w:rPr>
                      <w:rFonts w:hint="eastAsia"/>
                      <w:color w:val="0000FF"/>
                      <w:szCs w:val="21"/>
                    </w:rPr>
                    <w:t>颗粒物（TSP）</w:t>
                  </w:r>
                </w:p>
              </w:tc>
              <w:tc>
                <w:tcPr>
                  <w:tcW w:w="1285" w:type="dxa"/>
                  <w:vAlign w:val="center"/>
                </w:tcPr>
                <w:p>
                  <w:pPr>
                    <w:jc w:val="center"/>
                    <w:rPr>
                      <w:color w:val="0000FF"/>
                      <w:szCs w:val="21"/>
                    </w:rPr>
                  </w:pPr>
                  <w:r>
                    <w:rPr>
                      <w:rFonts w:hint="eastAsia"/>
                      <w:color w:val="0000FF"/>
                      <w:szCs w:val="21"/>
                    </w:rPr>
                    <w:t>物料运输</w:t>
                  </w:r>
                </w:p>
              </w:tc>
              <w:tc>
                <w:tcPr>
                  <w:tcW w:w="1128" w:type="dxa"/>
                  <w:vAlign w:val="center"/>
                </w:tcPr>
                <w:p>
                  <w:pPr>
                    <w:jc w:val="center"/>
                    <w:rPr>
                      <w:color w:val="0000FF"/>
                      <w:szCs w:val="21"/>
                    </w:rPr>
                  </w:pPr>
                  <w:r>
                    <w:rPr>
                      <w:color w:val="0000FF"/>
                      <w:szCs w:val="21"/>
                    </w:rPr>
                    <w:t>0.823</w:t>
                  </w:r>
                </w:p>
              </w:tc>
              <w:tc>
                <w:tcPr>
                  <w:tcW w:w="1267" w:type="dxa"/>
                  <w:vAlign w:val="center"/>
                </w:tcPr>
                <w:p>
                  <w:pPr>
                    <w:jc w:val="center"/>
                    <w:rPr>
                      <w:color w:val="0000FF"/>
                      <w:szCs w:val="21"/>
                    </w:rPr>
                  </w:pPr>
                  <w:r>
                    <w:rPr>
                      <w:color w:val="0000FF"/>
                      <w:szCs w:val="21"/>
                    </w:rPr>
                    <w:t>0.346</w:t>
                  </w:r>
                </w:p>
              </w:tc>
              <w:tc>
                <w:tcPr>
                  <w:tcW w:w="1010" w:type="dxa"/>
                  <w:vAlign w:val="center"/>
                </w:tcPr>
                <w:p>
                  <w:pPr>
                    <w:jc w:val="center"/>
                    <w:rPr>
                      <w:color w:val="0000FF"/>
                      <w:szCs w:val="21"/>
                    </w:rPr>
                  </w:pPr>
                  <w:r>
                    <w:rPr>
                      <w:color w:val="0000FF"/>
                      <w:szCs w:val="21"/>
                    </w:rPr>
                    <w:t>0.329</w:t>
                  </w:r>
                </w:p>
              </w:tc>
              <w:tc>
                <w:tcPr>
                  <w:tcW w:w="1132" w:type="dxa"/>
                  <w:vAlign w:val="center"/>
                </w:tcPr>
                <w:p>
                  <w:pPr>
                    <w:jc w:val="center"/>
                    <w:rPr>
                      <w:color w:val="0000FF"/>
                      <w:szCs w:val="21"/>
                    </w:rPr>
                  </w:pPr>
                  <w:r>
                    <w:rPr>
                      <w:color w:val="0000FF"/>
                      <w:szCs w:val="21"/>
                    </w:rPr>
                    <w:t>0.138</w:t>
                  </w:r>
                </w:p>
              </w:tc>
              <w:tc>
                <w:tcPr>
                  <w:tcW w:w="1338" w:type="dxa"/>
                  <w:vMerge w:val="restart"/>
                  <w:vAlign w:val="center"/>
                </w:tcPr>
                <w:p>
                  <w:pPr>
                    <w:jc w:val="center"/>
                    <w:rPr>
                      <w:color w:val="0000FF"/>
                      <w:szCs w:val="21"/>
                    </w:rPr>
                  </w:pPr>
                  <w:r>
                    <w:rPr>
                      <w:rFonts w:hint="eastAsia"/>
                      <w:color w:val="0000FF"/>
                      <w:szCs w:val="21"/>
                    </w:rPr>
                    <w:t>无组织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000" w:type="dxa"/>
                  <w:vMerge w:val="continue"/>
                  <w:vAlign w:val="center"/>
                </w:tcPr>
                <w:p>
                  <w:pPr>
                    <w:jc w:val="center"/>
                    <w:rPr>
                      <w:color w:val="0000FF"/>
                      <w:szCs w:val="21"/>
                    </w:rPr>
                  </w:pPr>
                </w:p>
              </w:tc>
              <w:tc>
                <w:tcPr>
                  <w:tcW w:w="1285" w:type="dxa"/>
                  <w:vAlign w:val="center"/>
                </w:tcPr>
                <w:p>
                  <w:pPr>
                    <w:jc w:val="center"/>
                    <w:rPr>
                      <w:color w:val="0000FF"/>
                      <w:szCs w:val="21"/>
                    </w:rPr>
                  </w:pPr>
                  <w:r>
                    <w:rPr>
                      <w:rFonts w:hint="eastAsia"/>
                      <w:color w:val="0000FF"/>
                      <w:szCs w:val="21"/>
                    </w:rPr>
                    <w:t>原料堆场</w:t>
                  </w:r>
                </w:p>
              </w:tc>
              <w:tc>
                <w:tcPr>
                  <w:tcW w:w="1128" w:type="dxa"/>
                  <w:vAlign w:val="center"/>
                </w:tcPr>
                <w:p>
                  <w:pPr>
                    <w:jc w:val="center"/>
                    <w:rPr>
                      <w:color w:val="0000FF"/>
                      <w:szCs w:val="21"/>
                    </w:rPr>
                  </w:pPr>
                  <w:r>
                    <w:rPr>
                      <w:rFonts w:hint="eastAsia"/>
                      <w:color w:val="0000FF"/>
                      <w:szCs w:val="21"/>
                    </w:rPr>
                    <w:t>3</w:t>
                  </w:r>
                  <w:r>
                    <w:rPr>
                      <w:color w:val="0000FF"/>
                      <w:szCs w:val="21"/>
                    </w:rPr>
                    <w:t>.213</w:t>
                  </w:r>
                </w:p>
              </w:tc>
              <w:tc>
                <w:tcPr>
                  <w:tcW w:w="1267" w:type="dxa"/>
                  <w:vAlign w:val="center"/>
                </w:tcPr>
                <w:p>
                  <w:pPr>
                    <w:jc w:val="center"/>
                    <w:rPr>
                      <w:color w:val="0000FF"/>
                      <w:szCs w:val="21"/>
                    </w:rPr>
                  </w:pPr>
                  <w:r>
                    <w:rPr>
                      <w:rFonts w:hint="eastAsia"/>
                      <w:color w:val="0000FF"/>
                      <w:szCs w:val="21"/>
                    </w:rPr>
                    <w:t>1</w:t>
                  </w:r>
                  <w:r>
                    <w:rPr>
                      <w:color w:val="0000FF"/>
                      <w:szCs w:val="21"/>
                    </w:rPr>
                    <w:t>.339</w:t>
                  </w:r>
                </w:p>
              </w:tc>
              <w:tc>
                <w:tcPr>
                  <w:tcW w:w="1010" w:type="dxa"/>
                  <w:vAlign w:val="center"/>
                </w:tcPr>
                <w:p>
                  <w:pPr>
                    <w:jc w:val="center"/>
                    <w:rPr>
                      <w:color w:val="0000FF"/>
                      <w:szCs w:val="21"/>
                    </w:rPr>
                  </w:pPr>
                  <w:r>
                    <w:rPr>
                      <w:rFonts w:hint="eastAsia"/>
                      <w:color w:val="0000FF"/>
                      <w:szCs w:val="21"/>
                    </w:rPr>
                    <w:t>0</w:t>
                  </w:r>
                  <w:r>
                    <w:rPr>
                      <w:color w:val="0000FF"/>
                      <w:szCs w:val="21"/>
                    </w:rPr>
                    <w:t>.334</w:t>
                  </w:r>
                </w:p>
              </w:tc>
              <w:tc>
                <w:tcPr>
                  <w:tcW w:w="1132" w:type="dxa"/>
                  <w:vAlign w:val="center"/>
                </w:tcPr>
                <w:p>
                  <w:pPr>
                    <w:jc w:val="center"/>
                    <w:rPr>
                      <w:color w:val="0000FF"/>
                      <w:szCs w:val="21"/>
                    </w:rPr>
                  </w:pPr>
                  <w:r>
                    <w:rPr>
                      <w:rFonts w:hint="eastAsia"/>
                      <w:color w:val="0000FF"/>
                      <w:szCs w:val="21"/>
                    </w:rPr>
                    <w:t>0</w:t>
                  </w:r>
                  <w:r>
                    <w:rPr>
                      <w:color w:val="0000FF"/>
                      <w:szCs w:val="21"/>
                    </w:rPr>
                    <w:t>.139</w:t>
                  </w:r>
                </w:p>
              </w:tc>
              <w:tc>
                <w:tcPr>
                  <w:tcW w:w="1338" w:type="dxa"/>
                  <w:vMerge w:val="continue"/>
                  <w:vAlign w:val="center"/>
                </w:tcPr>
                <w:p>
                  <w:pPr>
                    <w:jc w:val="center"/>
                    <w:rPr>
                      <w:color w:val="0000FF"/>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000" w:type="dxa"/>
                  <w:vMerge w:val="continue"/>
                  <w:vAlign w:val="center"/>
                </w:tcPr>
                <w:p>
                  <w:pPr>
                    <w:jc w:val="center"/>
                    <w:rPr>
                      <w:color w:val="0000FF"/>
                      <w:szCs w:val="21"/>
                    </w:rPr>
                  </w:pPr>
                </w:p>
              </w:tc>
              <w:tc>
                <w:tcPr>
                  <w:tcW w:w="1285" w:type="dxa"/>
                  <w:vAlign w:val="center"/>
                </w:tcPr>
                <w:p>
                  <w:pPr>
                    <w:jc w:val="center"/>
                    <w:rPr>
                      <w:color w:val="0000FF"/>
                      <w:szCs w:val="21"/>
                    </w:rPr>
                  </w:pPr>
                  <w:r>
                    <w:rPr>
                      <w:rFonts w:hint="eastAsia"/>
                      <w:color w:val="0000FF"/>
                      <w:szCs w:val="21"/>
                    </w:rPr>
                    <w:t>成品堆场</w:t>
                  </w:r>
                </w:p>
              </w:tc>
              <w:tc>
                <w:tcPr>
                  <w:tcW w:w="1128" w:type="dxa"/>
                  <w:vAlign w:val="center"/>
                </w:tcPr>
                <w:p>
                  <w:pPr>
                    <w:jc w:val="center"/>
                    <w:rPr>
                      <w:color w:val="0000FF"/>
                      <w:szCs w:val="21"/>
                    </w:rPr>
                  </w:pPr>
                  <w:r>
                    <w:rPr>
                      <w:rFonts w:hint="eastAsia"/>
                      <w:color w:val="0000FF"/>
                      <w:szCs w:val="21"/>
                    </w:rPr>
                    <w:t>1</w:t>
                  </w:r>
                  <w:r>
                    <w:rPr>
                      <w:color w:val="0000FF"/>
                      <w:szCs w:val="21"/>
                    </w:rPr>
                    <w:t>4.138</w:t>
                  </w:r>
                </w:p>
              </w:tc>
              <w:tc>
                <w:tcPr>
                  <w:tcW w:w="1267" w:type="dxa"/>
                  <w:vAlign w:val="center"/>
                </w:tcPr>
                <w:p>
                  <w:pPr>
                    <w:jc w:val="center"/>
                    <w:rPr>
                      <w:color w:val="0000FF"/>
                      <w:szCs w:val="21"/>
                    </w:rPr>
                  </w:pPr>
                  <w:r>
                    <w:rPr>
                      <w:rFonts w:hint="eastAsia"/>
                      <w:color w:val="0000FF"/>
                      <w:szCs w:val="21"/>
                    </w:rPr>
                    <w:t>5</w:t>
                  </w:r>
                  <w:r>
                    <w:rPr>
                      <w:color w:val="0000FF"/>
                      <w:szCs w:val="21"/>
                    </w:rPr>
                    <w:t>.891</w:t>
                  </w:r>
                </w:p>
              </w:tc>
              <w:tc>
                <w:tcPr>
                  <w:tcW w:w="1010" w:type="dxa"/>
                  <w:vAlign w:val="center"/>
                </w:tcPr>
                <w:p>
                  <w:pPr>
                    <w:jc w:val="center"/>
                    <w:rPr>
                      <w:color w:val="0000FF"/>
                      <w:szCs w:val="21"/>
                    </w:rPr>
                  </w:pPr>
                  <w:r>
                    <w:rPr>
                      <w:rFonts w:hint="eastAsia"/>
                      <w:color w:val="0000FF"/>
                      <w:szCs w:val="21"/>
                    </w:rPr>
                    <w:t>1</w:t>
                  </w:r>
                  <w:r>
                    <w:rPr>
                      <w:color w:val="0000FF"/>
                      <w:szCs w:val="21"/>
                    </w:rPr>
                    <w:t>.47</w:t>
                  </w:r>
                </w:p>
              </w:tc>
              <w:tc>
                <w:tcPr>
                  <w:tcW w:w="1132" w:type="dxa"/>
                  <w:vAlign w:val="center"/>
                </w:tcPr>
                <w:p>
                  <w:pPr>
                    <w:jc w:val="center"/>
                    <w:rPr>
                      <w:color w:val="0000FF"/>
                      <w:szCs w:val="21"/>
                    </w:rPr>
                  </w:pPr>
                  <w:r>
                    <w:rPr>
                      <w:rFonts w:hint="eastAsia"/>
                      <w:color w:val="0000FF"/>
                      <w:szCs w:val="21"/>
                    </w:rPr>
                    <w:t>0</w:t>
                  </w:r>
                  <w:r>
                    <w:rPr>
                      <w:color w:val="0000FF"/>
                      <w:szCs w:val="21"/>
                    </w:rPr>
                    <w:t>.613</w:t>
                  </w:r>
                </w:p>
              </w:tc>
              <w:tc>
                <w:tcPr>
                  <w:tcW w:w="1338" w:type="dxa"/>
                  <w:vMerge w:val="continue"/>
                  <w:vAlign w:val="center"/>
                </w:tcPr>
                <w:p>
                  <w:pPr>
                    <w:jc w:val="center"/>
                    <w:rPr>
                      <w:color w:val="0000FF"/>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000" w:type="dxa"/>
                  <w:vMerge w:val="continue"/>
                  <w:vAlign w:val="center"/>
                </w:tcPr>
                <w:p>
                  <w:pPr>
                    <w:jc w:val="center"/>
                    <w:rPr>
                      <w:color w:val="0000FF"/>
                      <w:szCs w:val="21"/>
                    </w:rPr>
                  </w:pPr>
                </w:p>
              </w:tc>
              <w:tc>
                <w:tcPr>
                  <w:tcW w:w="1285" w:type="dxa"/>
                  <w:vAlign w:val="center"/>
                </w:tcPr>
                <w:p>
                  <w:pPr>
                    <w:jc w:val="center"/>
                    <w:rPr>
                      <w:b/>
                      <w:color w:val="0000FF"/>
                      <w:szCs w:val="21"/>
                    </w:rPr>
                  </w:pPr>
                  <w:r>
                    <w:rPr>
                      <w:rFonts w:hint="eastAsia"/>
                      <w:b/>
                      <w:color w:val="0000FF"/>
                      <w:szCs w:val="21"/>
                    </w:rPr>
                    <w:t>合计</w:t>
                  </w:r>
                </w:p>
              </w:tc>
              <w:tc>
                <w:tcPr>
                  <w:tcW w:w="1128" w:type="dxa"/>
                  <w:vAlign w:val="center"/>
                </w:tcPr>
                <w:p>
                  <w:pPr>
                    <w:jc w:val="center"/>
                    <w:rPr>
                      <w:b/>
                      <w:color w:val="0000FF"/>
                      <w:szCs w:val="21"/>
                    </w:rPr>
                  </w:pPr>
                  <w:r>
                    <w:rPr>
                      <w:rFonts w:eastAsia="等线"/>
                      <w:b/>
                      <w:color w:val="0000FF"/>
                      <w:szCs w:val="21"/>
                    </w:rPr>
                    <w:t>18.174</w:t>
                  </w:r>
                </w:p>
              </w:tc>
              <w:tc>
                <w:tcPr>
                  <w:tcW w:w="1267" w:type="dxa"/>
                  <w:vAlign w:val="center"/>
                </w:tcPr>
                <w:p>
                  <w:pPr>
                    <w:jc w:val="center"/>
                    <w:rPr>
                      <w:b/>
                      <w:color w:val="0000FF"/>
                      <w:szCs w:val="21"/>
                    </w:rPr>
                  </w:pPr>
                  <w:r>
                    <w:rPr>
                      <w:rFonts w:eastAsia="等线"/>
                      <w:b/>
                      <w:color w:val="0000FF"/>
                      <w:szCs w:val="21"/>
                    </w:rPr>
                    <w:t>7.576</w:t>
                  </w:r>
                </w:p>
              </w:tc>
              <w:tc>
                <w:tcPr>
                  <w:tcW w:w="1010" w:type="dxa"/>
                  <w:vAlign w:val="center"/>
                </w:tcPr>
                <w:p>
                  <w:pPr>
                    <w:jc w:val="center"/>
                    <w:rPr>
                      <w:b/>
                      <w:color w:val="0000FF"/>
                      <w:szCs w:val="21"/>
                    </w:rPr>
                  </w:pPr>
                  <w:r>
                    <w:rPr>
                      <w:rFonts w:eastAsia="等线"/>
                      <w:b/>
                      <w:color w:val="0000FF"/>
                      <w:szCs w:val="21"/>
                    </w:rPr>
                    <w:t>2.133</w:t>
                  </w:r>
                </w:p>
              </w:tc>
              <w:tc>
                <w:tcPr>
                  <w:tcW w:w="1132" w:type="dxa"/>
                  <w:tcBorders>
                    <w:bottom w:val="single" w:color="auto" w:sz="4" w:space="0"/>
                  </w:tcBorders>
                  <w:vAlign w:val="center"/>
                </w:tcPr>
                <w:p>
                  <w:pPr>
                    <w:jc w:val="center"/>
                    <w:rPr>
                      <w:b/>
                      <w:color w:val="0000FF"/>
                      <w:szCs w:val="21"/>
                    </w:rPr>
                  </w:pPr>
                  <w:r>
                    <w:rPr>
                      <w:rFonts w:eastAsia="等线"/>
                      <w:b/>
                      <w:color w:val="0000FF"/>
                      <w:szCs w:val="21"/>
                    </w:rPr>
                    <w:t>0.89</w:t>
                  </w:r>
                </w:p>
              </w:tc>
              <w:tc>
                <w:tcPr>
                  <w:tcW w:w="1338" w:type="dxa"/>
                  <w:vMerge w:val="continue"/>
                  <w:tcBorders>
                    <w:bottom w:val="single" w:color="auto" w:sz="4" w:space="0"/>
                  </w:tcBorders>
                  <w:vAlign w:val="center"/>
                </w:tcPr>
                <w:p>
                  <w:pPr>
                    <w:jc w:val="center"/>
                    <w:rPr>
                      <w:color w:val="0000FF"/>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000" w:type="dxa"/>
                  <w:vMerge w:val="continue"/>
                  <w:vAlign w:val="center"/>
                </w:tcPr>
                <w:p>
                  <w:pPr>
                    <w:jc w:val="center"/>
                    <w:rPr>
                      <w:color w:val="0000FF"/>
                      <w:szCs w:val="21"/>
                    </w:rPr>
                  </w:pPr>
                </w:p>
              </w:tc>
              <w:tc>
                <w:tcPr>
                  <w:tcW w:w="1285" w:type="dxa"/>
                  <w:vAlign w:val="center"/>
                </w:tcPr>
                <w:p>
                  <w:pPr>
                    <w:jc w:val="center"/>
                    <w:rPr>
                      <w:color w:val="0000FF"/>
                      <w:szCs w:val="21"/>
                    </w:rPr>
                  </w:pPr>
                  <w:r>
                    <w:rPr>
                      <w:rFonts w:hint="eastAsia"/>
                      <w:color w:val="0000FF"/>
                      <w:szCs w:val="21"/>
                    </w:rPr>
                    <w:t>破碎、筛分</w:t>
                  </w:r>
                </w:p>
              </w:tc>
              <w:tc>
                <w:tcPr>
                  <w:tcW w:w="1128" w:type="dxa"/>
                  <w:vAlign w:val="center"/>
                </w:tcPr>
                <w:p>
                  <w:pPr>
                    <w:jc w:val="center"/>
                    <w:rPr>
                      <w:color w:val="0000FF"/>
                      <w:szCs w:val="21"/>
                    </w:rPr>
                  </w:pPr>
                  <w:r>
                    <w:rPr>
                      <w:color w:val="0000FF"/>
                      <w:szCs w:val="21"/>
                    </w:rPr>
                    <w:t>45.36</w:t>
                  </w:r>
                </w:p>
              </w:tc>
              <w:tc>
                <w:tcPr>
                  <w:tcW w:w="1267" w:type="dxa"/>
                  <w:vAlign w:val="center"/>
                </w:tcPr>
                <w:p>
                  <w:pPr>
                    <w:jc w:val="center"/>
                    <w:rPr>
                      <w:color w:val="0000FF"/>
                      <w:szCs w:val="21"/>
                    </w:rPr>
                  </w:pPr>
                  <w:r>
                    <w:rPr>
                      <w:color w:val="0000FF"/>
                      <w:szCs w:val="21"/>
                    </w:rPr>
                    <w:t>18.9</w:t>
                  </w:r>
                </w:p>
              </w:tc>
              <w:tc>
                <w:tcPr>
                  <w:tcW w:w="1010" w:type="dxa"/>
                  <w:vAlign w:val="center"/>
                </w:tcPr>
                <w:p>
                  <w:pPr>
                    <w:jc w:val="center"/>
                    <w:rPr>
                      <w:color w:val="0000FF"/>
                      <w:szCs w:val="21"/>
                    </w:rPr>
                  </w:pPr>
                  <w:r>
                    <w:rPr>
                      <w:color w:val="0000FF"/>
                      <w:szCs w:val="21"/>
                    </w:rPr>
                    <w:t>0.454</w:t>
                  </w:r>
                </w:p>
              </w:tc>
              <w:tc>
                <w:tcPr>
                  <w:tcW w:w="1132" w:type="dxa"/>
                  <w:tcBorders>
                    <w:top w:val="single" w:color="auto" w:sz="4" w:space="0"/>
                  </w:tcBorders>
                  <w:vAlign w:val="center"/>
                </w:tcPr>
                <w:p>
                  <w:pPr>
                    <w:jc w:val="center"/>
                    <w:rPr>
                      <w:color w:val="0000FF"/>
                      <w:szCs w:val="21"/>
                    </w:rPr>
                  </w:pPr>
                  <w:r>
                    <w:rPr>
                      <w:color w:val="0000FF"/>
                      <w:szCs w:val="21"/>
                    </w:rPr>
                    <w:t>0.189</w:t>
                  </w:r>
                </w:p>
              </w:tc>
              <w:tc>
                <w:tcPr>
                  <w:tcW w:w="1338" w:type="dxa"/>
                  <w:tcBorders>
                    <w:top w:val="single" w:color="auto" w:sz="4" w:space="0"/>
                  </w:tcBorders>
                  <w:vAlign w:val="center"/>
                </w:tcPr>
                <w:p>
                  <w:pPr>
                    <w:jc w:val="center"/>
                    <w:rPr>
                      <w:color w:val="0000FF"/>
                      <w:szCs w:val="21"/>
                    </w:rPr>
                  </w:pPr>
                  <w:r>
                    <w:rPr>
                      <w:rFonts w:hint="eastAsia"/>
                      <w:color w:val="0000FF"/>
                      <w:szCs w:val="21"/>
                    </w:rPr>
                    <w:t>有组织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000" w:type="dxa"/>
                  <w:vAlign w:val="center"/>
                </w:tcPr>
                <w:p>
                  <w:pPr>
                    <w:jc w:val="center"/>
                    <w:rPr>
                      <w:color w:val="0000FF"/>
                      <w:szCs w:val="21"/>
                    </w:rPr>
                  </w:pPr>
                  <w:r>
                    <w:rPr>
                      <w:rFonts w:hint="eastAsia"/>
                      <w:color w:val="0000FF"/>
                      <w:szCs w:val="21"/>
                    </w:rPr>
                    <w:t>总烃NOx</w:t>
                  </w:r>
                </w:p>
                <w:p>
                  <w:pPr>
                    <w:jc w:val="center"/>
                    <w:rPr>
                      <w:color w:val="0000FF"/>
                      <w:szCs w:val="21"/>
                    </w:rPr>
                  </w:pPr>
                  <w:r>
                    <w:rPr>
                      <w:rFonts w:hint="eastAsia"/>
                      <w:color w:val="0000FF"/>
                      <w:szCs w:val="21"/>
                    </w:rPr>
                    <w:t>CO</w:t>
                  </w:r>
                </w:p>
              </w:tc>
              <w:tc>
                <w:tcPr>
                  <w:tcW w:w="1285" w:type="dxa"/>
                  <w:vAlign w:val="center"/>
                </w:tcPr>
                <w:p>
                  <w:pPr>
                    <w:jc w:val="center"/>
                    <w:rPr>
                      <w:color w:val="0000FF"/>
                      <w:szCs w:val="21"/>
                    </w:rPr>
                  </w:pPr>
                  <w:r>
                    <w:rPr>
                      <w:rFonts w:hint="eastAsia"/>
                      <w:color w:val="0000FF"/>
                      <w:szCs w:val="21"/>
                    </w:rPr>
                    <w:t>燃油机械</w:t>
                  </w:r>
                </w:p>
              </w:tc>
              <w:tc>
                <w:tcPr>
                  <w:tcW w:w="1128" w:type="dxa"/>
                  <w:vAlign w:val="center"/>
                </w:tcPr>
                <w:p>
                  <w:pPr>
                    <w:jc w:val="center"/>
                    <w:rPr>
                      <w:color w:val="0000FF"/>
                      <w:szCs w:val="21"/>
                    </w:rPr>
                  </w:pPr>
                  <w:r>
                    <w:rPr>
                      <w:rFonts w:hint="eastAsia"/>
                      <w:color w:val="0000FF"/>
                      <w:szCs w:val="21"/>
                    </w:rPr>
                    <w:t>/</w:t>
                  </w:r>
                </w:p>
              </w:tc>
              <w:tc>
                <w:tcPr>
                  <w:tcW w:w="1267" w:type="dxa"/>
                  <w:vAlign w:val="center"/>
                </w:tcPr>
                <w:p>
                  <w:pPr>
                    <w:jc w:val="center"/>
                    <w:rPr>
                      <w:color w:val="0000FF"/>
                      <w:szCs w:val="21"/>
                    </w:rPr>
                  </w:pPr>
                  <w:r>
                    <w:rPr>
                      <w:rFonts w:hint="eastAsia"/>
                      <w:color w:val="0000FF"/>
                      <w:szCs w:val="21"/>
                    </w:rPr>
                    <w:t>/</w:t>
                  </w:r>
                </w:p>
              </w:tc>
              <w:tc>
                <w:tcPr>
                  <w:tcW w:w="1010" w:type="dxa"/>
                  <w:vAlign w:val="center"/>
                </w:tcPr>
                <w:p>
                  <w:pPr>
                    <w:jc w:val="center"/>
                    <w:rPr>
                      <w:color w:val="0000FF"/>
                      <w:szCs w:val="21"/>
                    </w:rPr>
                  </w:pPr>
                  <w:r>
                    <w:rPr>
                      <w:rFonts w:hint="eastAsia"/>
                      <w:color w:val="0000FF"/>
                      <w:szCs w:val="21"/>
                    </w:rPr>
                    <w:t>/</w:t>
                  </w:r>
                </w:p>
              </w:tc>
              <w:tc>
                <w:tcPr>
                  <w:tcW w:w="1132" w:type="dxa"/>
                  <w:vAlign w:val="center"/>
                </w:tcPr>
                <w:p>
                  <w:pPr>
                    <w:jc w:val="center"/>
                    <w:rPr>
                      <w:color w:val="0000FF"/>
                      <w:szCs w:val="21"/>
                    </w:rPr>
                  </w:pPr>
                  <w:r>
                    <w:rPr>
                      <w:rFonts w:hint="eastAsia"/>
                      <w:color w:val="0000FF"/>
                      <w:szCs w:val="21"/>
                    </w:rPr>
                    <w:t>/</w:t>
                  </w:r>
                </w:p>
              </w:tc>
              <w:tc>
                <w:tcPr>
                  <w:tcW w:w="1338" w:type="dxa"/>
                  <w:vAlign w:val="center"/>
                </w:tcPr>
                <w:p>
                  <w:pPr>
                    <w:jc w:val="center"/>
                    <w:rPr>
                      <w:color w:val="0000FF"/>
                      <w:szCs w:val="21"/>
                    </w:rPr>
                  </w:pPr>
                  <w:r>
                    <w:rPr>
                      <w:rFonts w:hint="eastAsia"/>
                      <w:color w:val="0000FF"/>
                      <w:szCs w:val="21"/>
                    </w:rPr>
                    <w:t>无组织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000" w:type="dxa"/>
                  <w:vAlign w:val="center"/>
                </w:tcPr>
                <w:p>
                  <w:pPr>
                    <w:jc w:val="center"/>
                    <w:rPr>
                      <w:color w:val="0000FF"/>
                      <w:szCs w:val="21"/>
                    </w:rPr>
                  </w:pPr>
                  <w:r>
                    <w:rPr>
                      <w:rFonts w:hint="eastAsia"/>
                      <w:color w:val="0000FF"/>
                      <w:szCs w:val="21"/>
                    </w:rPr>
                    <w:t>油烟</w:t>
                  </w:r>
                </w:p>
              </w:tc>
              <w:tc>
                <w:tcPr>
                  <w:tcW w:w="1285" w:type="dxa"/>
                  <w:vAlign w:val="center"/>
                </w:tcPr>
                <w:p>
                  <w:pPr>
                    <w:jc w:val="center"/>
                    <w:rPr>
                      <w:color w:val="0000FF"/>
                      <w:szCs w:val="21"/>
                    </w:rPr>
                  </w:pPr>
                  <w:r>
                    <w:rPr>
                      <w:rFonts w:hint="eastAsia"/>
                      <w:color w:val="0000FF"/>
                      <w:szCs w:val="21"/>
                    </w:rPr>
                    <w:t>灶头</w:t>
                  </w:r>
                </w:p>
              </w:tc>
              <w:tc>
                <w:tcPr>
                  <w:tcW w:w="1128" w:type="dxa"/>
                  <w:vAlign w:val="center"/>
                </w:tcPr>
                <w:p>
                  <w:pPr>
                    <w:jc w:val="center"/>
                    <w:rPr>
                      <w:color w:val="0000FF"/>
                      <w:szCs w:val="21"/>
                    </w:rPr>
                  </w:pPr>
                  <w:r>
                    <w:rPr>
                      <w:rFonts w:hint="eastAsia"/>
                      <w:color w:val="0000FF"/>
                      <w:szCs w:val="21"/>
                    </w:rPr>
                    <w:t>0</w:t>
                  </w:r>
                  <w:r>
                    <w:rPr>
                      <w:color w:val="0000FF"/>
                      <w:szCs w:val="21"/>
                    </w:rPr>
                    <w:t>.00135</w:t>
                  </w:r>
                </w:p>
              </w:tc>
              <w:tc>
                <w:tcPr>
                  <w:tcW w:w="1267" w:type="dxa"/>
                  <w:vAlign w:val="center"/>
                </w:tcPr>
                <w:p>
                  <w:pPr>
                    <w:jc w:val="center"/>
                    <w:rPr>
                      <w:color w:val="0000FF"/>
                      <w:szCs w:val="21"/>
                    </w:rPr>
                  </w:pPr>
                  <w:r>
                    <w:rPr>
                      <w:rFonts w:hint="eastAsia"/>
                      <w:color w:val="0000FF"/>
                      <w:szCs w:val="21"/>
                    </w:rPr>
                    <w:t>0</w:t>
                  </w:r>
                  <w:r>
                    <w:rPr>
                      <w:color w:val="0000FF"/>
                      <w:szCs w:val="21"/>
                    </w:rPr>
                    <w:t>.00225</w:t>
                  </w:r>
                </w:p>
              </w:tc>
              <w:tc>
                <w:tcPr>
                  <w:tcW w:w="1010" w:type="dxa"/>
                  <w:vAlign w:val="center"/>
                </w:tcPr>
                <w:p>
                  <w:pPr>
                    <w:jc w:val="center"/>
                    <w:rPr>
                      <w:color w:val="0000FF"/>
                      <w:szCs w:val="21"/>
                    </w:rPr>
                  </w:pPr>
                  <w:r>
                    <w:rPr>
                      <w:rFonts w:hint="eastAsia"/>
                      <w:color w:val="0000FF"/>
                      <w:szCs w:val="21"/>
                    </w:rPr>
                    <w:t>0</w:t>
                  </w:r>
                  <w:r>
                    <w:rPr>
                      <w:color w:val="0000FF"/>
                      <w:szCs w:val="21"/>
                    </w:rPr>
                    <w:t>.00135</w:t>
                  </w:r>
                </w:p>
              </w:tc>
              <w:tc>
                <w:tcPr>
                  <w:tcW w:w="1132" w:type="dxa"/>
                  <w:vAlign w:val="center"/>
                </w:tcPr>
                <w:p>
                  <w:pPr>
                    <w:jc w:val="center"/>
                    <w:rPr>
                      <w:color w:val="0000FF"/>
                      <w:szCs w:val="21"/>
                    </w:rPr>
                  </w:pPr>
                  <w:r>
                    <w:rPr>
                      <w:rFonts w:hint="eastAsia"/>
                      <w:color w:val="0000FF"/>
                      <w:szCs w:val="21"/>
                    </w:rPr>
                    <w:t>0</w:t>
                  </w:r>
                  <w:r>
                    <w:rPr>
                      <w:color w:val="0000FF"/>
                      <w:szCs w:val="21"/>
                    </w:rPr>
                    <w:t>.00225</w:t>
                  </w:r>
                </w:p>
              </w:tc>
              <w:tc>
                <w:tcPr>
                  <w:tcW w:w="1338" w:type="dxa"/>
                  <w:vAlign w:val="center"/>
                </w:tcPr>
                <w:p>
                  <w:pPr>
                    <w:jc w:val="center"/>
                    <w:rPr>
                      <w:color w:val="0000FF"/>
                      <w:szCs w:val="21"/>
                    </w:rPr>
                  </w:pPr>
                  <w:r>
                    <w:rPr>
                      <w:rFonts w:hint="eastAsia"/>
                      <w:color w:val="0000FF"/>
                      <w:szCs w:val="21"/>
                    </w:rPr>
                    <w:t>无组织</w:t>
                  </w:r>
                </w:p>
              </w:tc>
            </w:tr>
          </w:tbl>
          <w:p>
            <w:pPr>
              <w:spacing w:line="360" w:lineRule="auto"/>
              <w:jc w:val="left"/>
              <w:rPr>
                <w:b/>
                <w:color w:val="0000FF"/>
                <w:sz w:val="24"/>
              </w:rPr>
            </w:pPr>
            <w:r>
              <w:rPr>
                <w:rFonts w:hint="eastAsia"/>
                <w:b/>
                <w:color w:val="0000FF"/>
                <w:sz w:val="24"/>
              </w:rPr>
              <w:t>2、排气筒设置情况</w:t>
            </w:r>
          </w:p>
          <w:p>
            <w:pPr>
              <w:spacing w:line="360" w:lineRule="auto"/>
              <w:ind w:firstLine="480" w:firstLineChars="200"/>
              <w:jc w:val="left"/>
              <w:rPr>
                <w:color w:val="0000FF"/>
                <w:sz w:val="24"/>
              </w:rPr>
            </w:pPr>
            <w:r>
              <w:rPr>
                <w:rFonts w:hint="eastAsia"/>
                <w:color w:val="0000FF"/>
                <w:sz w:val="24"/>
              </w:rPr>
              <w:t>本项目运营期破碎筛分粉尘经布袋除尘器收集后通过1根1</w:t>
            </w:r>
            <w:r>
              <w:rPr>
                <w:color w:val="0000FF"/>
                <w:sz w:val="24"/>
              </w:rPr>
              <w:t>5</w:t>
            </w:r>
            <w:r>
              <w:rPr>
                <w:rFonts w:hint="eastAsia"/>
                <w:color w:val="0000FF"/>
                <w:sz w:val="24"/>
              </w:rPr>
              <w:t>m高排气筒进行有组织排放，排气筒基本参数如下：</w:t>
            </w:r>
          </w:p>
          <w:p>
            <w:pPr>
              <w:jc w:val="center"/>
              <w:rPr>
                <w:b/>
                <w:color w:val="0000FF"/>
                <w:sz w:val="24"/>
              </w:rPr>
            </w:pPr>
            <w:r>
              <w:rPr>
                <w:rFonts w:hint="eastAsia"/>
                <w:b/>
                <w:color w:val="0000FF"/>
                <w:sz w:val="24"/>
              </w:rPr>
              <w:t>表</w:t>
            </w:r>
            <w:r>
              <w:rPr>
                <w:b/>
                <w:color w:val="0000FF"/>
                <w:sz w:val="24"/>
              </w:rPr>
              <w:t xml:space="preserve">4..6-7  </w:t>
            </w:r>
            <w:r>
              <w:rPr>
                <w:rFonts w:hint="eastAsia"/>
                <w:b/>
                <w:color w:val="0000FF"/>
                <w:sz w:val="24"/>
              </w:rPr>
              <w:t>排气筒基本参数一览表</w:t>
            </w:r>
          </w:p>
          <w:tbl>
            <w:tblPr>
              <w:tblStyle w:val="3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19"/>
              <w:gridCol w:w="1637"/>
              <w:gridCol w:w="675"/>
              <w:gridCol w:w="777"/>
              <w:gridCol w:w="780"/>
              <w:gridCol w:w="827"/>
              <w:gridCol w:w="938"/>
              <w:gridCol w:w="20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6" w:type="pct"/>
                  <w:vMerge w:val="restart"/>
                  <w:vAlign w:val="center"/>
                </w:tcPr>
                <w:p>
                  <w:pPr>
                    <w:jc w:val="center"/>
                    <w:rPr>
                      <w:b/>
                      <w:bCs/>
                      <w:color w:val="0000FF"/>
                      <w:sz w:val="18"/>
                      <w:szCs w:val="18"/>
                    </w:rPr>
                  </w:pPr>
                  <w:r>
                    <w:rPr>
                      <w:b/>
                      <w:bCs/>
                      <w:color w:val="0000FF"/>
                      <w:sz w:val="18"/>
                      <w:szCs w:val="18"/>
                    </w:rPr>
                    <w:t>排气筒</w:t>
                  </w:r>
                </w:p>
              </w:tc>
              <w:tc>
                <w:tcPr>
                  <w:tcW w:w="822" w:type="pct"/>
                  <w:vMerge w:val="restart"/>
                  <w:vAlign w:val="center"/>
                </w:tcPr>
                <w:p>
                  <w:pPr>
                    <w:jc w:val="center"/>
                    <w:rPr>
                      <w:b/>
                      <w:bCs/>
                      <w:color w:val="0000FF"/>
                      <w:sz w:val="18"/>
                      <w:szCs w:val="18"/>
                    </w:rPr>
                  </w:pPr>
                  <w:r>
                    <w:rPr>
                      <w:b/>
                      <w:bCs/>
                      <w:color w:val="0000FF"/>
                      <w:sz w:val="18"/>
                      <w:szCs w:val="18"/>
                    </w:rPr>
                    <w:t>经纬度（°）</w:t>
                  </w:r>
                </w:p>
              </w:tc>
              <w:tc>
                <w:tcPr>
                  <w:tcW w:w="352" w:type="pct"/>
                  <w:vMerge w:val="restart"/>
                  <w:vAlign w:val="center"/>
                </w:tcPr>
                <w:p>
                  <w:pPr>
                    <w:jc w:val="center"/>
                    <w:rPr>
                      <w:b/>
                      <w:bCs/>
                      <w:color w:val="0000FF"/>
                      <w:sz w:val="18"/>
                      <w:szCs w:val="18"/>
                    </w:rPr>
                  </w:pPr>
                  <w:r>
                    <w:rPr>
                      <w:b/>
                      <w:bCs/>
                      <w:color w:val="0000FF"/>
                      <w:sz w:val="18"/>
                      <w:szCs w:val="18"/>
                    </w:rPr>
                    <w:t>底部标高</w:t>
                  </w:r>
                </w:p>
              </w:tc>
              <w:tc>
                <w:tcPr>
                  <w:tcW w:w="2120" w:type="pct"/>
                  <w:gridSpan w:val="4"/>
                  <w:vAlign w:val="center"/>
                </w:tcPr>
                <w:p>
                  <w:pPr>
                    <w:jc w:val="center"/>
                    <w:rPr>
                      <w:b/>
                      <w:bCs/>
                      <w:color w:val="0000FF"/>
                      <w:sz w:val="18"/>
                      <w:szCs w:val="18"/>
                    </w:rPr>
                  </w:pPr>
                  <w:r>
                    <w:rPr>
                      <w:b/>
                      <w:bCs/>
                      <w:color w:val="0000FF"/>
                      <w:sz w:val="18"/>
                      <w:szCs w:val="18"/>
                    </w:rPr>
                    <w:t>排气筒参数</w:t>
                  </w:r>
                </w:p>
              </w:tc>
              <w:tc>
                <w:tcPr>
                  <w:tcW w:w="1250" w:type="pct"/>
                  <w:vAlign w:val="center"/>
                </w:tcPr>
                <w:p>
                  <w:pPr>
                    <w:jc w:val="center"/>
                    <w:rPr>
                      <w:b/>
                      <w:bCs/>
                      <w:color w:val="0000FF"/>
                      <w:sz w:val="18"/>
                      <w:szCs w:val="18"/>
                    </w:rPr>
                  </w:pPr>
                  <w:r>
                    <w:rPr>
                      <w:b/>
                      <w:bCs/>
                      <w:color w:val="0000FF"/>
                      <w:sz w:val="18"/>
                      <w:szCs w:val="18"/>
                    </w:rPr>
                    <w:t>排放速率（kg/h）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6" w:type="pct"/>
                  <w:vMerge w:val="continue"/>
                  <w:vAlign w:val="center"/>
                </w:tcPr>
                <w:p>
                  <w:pPr>
                    <w:jc w:val="center"/>
                    <w:rPr>
                      <w:b/>
                      <w:bCs/>
                      <w:color w:val="0000FF"/>
                      <w:sz w:val="18"/>
                      <w:szCs w:val="18"/>
                    </w:rPr>
                  </w:pPr>
                </w:p>
              </w:tc>
              <w:tc>
                <w:tcPr>
                  <w:tcW w:w="822" w:type="pct"/>
                  <w:vMerge w:val="continue"/>
                  <w:vAlign w:val="center"/>
                </w:tcPr>
                <w:p>
                  <w:pPr>
                    <w:jc w:val="center"/>
                    <w:rPr>
                      <w:b/>
                      <w:bCs/>
                      <w:color w:val="0000FF"/>
                      <w:sz w:val="18"/>
                      <w:szCs w:val="18"/>
                    </w:rPr>
                  </w:pPr>
                </w:p>
              </w:tc>
              <w:tc>
                <w:tcPr>
                  <w:tcW w:w="352" w:type="pct"/>
                  <w:vMerge w:val="continue"/>
                  <w:vAlign w:val="center"/>
                </w:tcPr>
                <w:p>
                  <w:pPr>
                    <w:jc w:val="center"/>
                    <w:rPr>
                      <w:b/>
                      <w:bCs/>
                      <w:color w:val="0000FF"/>
                      <w:sz w:val="18"/>
                      <w:szCs w:val="18"/>
                    </w:rPr>
                  </w:pPr>
                </w:p>
              </w:tc>
              <w:tc>
                <w:tcPr>
                  <w:tcW w:w="517" w:type="pct"/>
                  <w:vAlign w:val="center"/>
                </w:tcPr>
                <w:p>
                  <w:pPr>
                    <w:jc w:val="center"/>
                    <w:rPr>
                      <w:b/>
                      <w:bCs/>
                      <w:color w:val="0000FF"/>
                      <w:sz w:val="18"/>
                      <w:szCs w:val="18"/>
                    </w:rPr>
                  </w:pPr>
                  <w:r>
                    <w:rPr>
                      <w:b/>
                      <w:bCs/>
                      <w:color w:val="0000FF"/>
                      <w:sz w:val="18"/>
                      <w:szCs w:val="18"/>
                    </w:rPr>
                    <w:t>高度（m）</w:t>
                  </w:r>
                </w:p>
              </w:tc>
              <w:tc>
                <w:tcPr>
                  <w:tcW w:w="518" w:type="pct"/>
                  <w:vAlign w:val="center"/>
                </w:tcPr>
                <w:p>
                  <w:pPr>
                    <w:jc w:val="center"/>
                    <w:rPr>
                      <w:b/>
                      <w:bCs/>
                      <w:color w:val="0000FF"/>
                      <w:sz w:val="18"/>
                      <w:szCs w:val="18"/>
                    </w:rPr>
                  </w:pPr>
                  <w:r>
                    <w:rPr>
                      <w:b/>
                      <w:bCs/>
                      <w:color w:val="0000FF"/>
                      <w:sz w:val="18"/>
                      <w:szCs w:val="18"/>
                    </w:rPr>
                    <w:t>内径（m）</w:t>
                  </w:r>
                </w:p>
              </w:tc>
              <w:tc>
                <w:tcPr>
                  <w:tcW w:w="546" w:type="pct"/>
                  <w:vAlign w:val="center"/>
                </w:tcPr>
                <w:p>
                  <w:pPr>
                    <w:jc w:val="center"/>
                    <w:rPr>
                      <w:b/>
                      <w:bCs/>
                      <w:color w:val="0000FF"/>
                      <w:sz w:val="18"/>
                      <w:szCs w:val="18"/>
                    </w:rPr>
                  </w:pPr>
                  <w:r>
                    <w:rPr>
                      <w:b/>
                      <w:bCs/>
                      <w:color w:val="0000FF"/>
                      <w:sz w:val="18"/>
                      <w:szCs w:val="18"/>
                    </w:rPr>
                    <w:t>温度（℃）</w:t>
                  </w:r>
                </w:p>
              </w:tc>
              <w:tc>
                <w:tcPr>
                  <w:tcW w:w="538" w:type="pct"/>
                  <w:vAlign w:val="center"/>
                </w:tcPr>
                <w:p>
                  <w:pPr>
                    <w:jc w:val="center"/>
                    <w:rPr>
                      <w:b/>
                      <w:bCs/>
                      <w:color w:val="0000FF"/>
                      <w:sz w:val="18"/>
                      <w:szCs w:val="18"/>
                    </w:rPr>
                  </w:pPr>
                  <w:r>
                    <w:rPr>
                      <w:b/>
                      <w:bCs/>
                      <w:color w:val="0000FF"/>
                      <w:sz w:val="18"/>
                      <w:szCs w:val="18"/>
                    </w:rPr>
                    <w:t>流速（m/s）</w:t>
                  </w:r>
                </w:p>
              </w:tc>
              <w:tc>
                <w:tcPr>
                  <w:tcW w:w="1250" w:type="pct"/>
                  <w:vAlign w:val="center"/>
                </w:tcPr>
                <w:p>
                  <w:pPr>
                    <w:jc w:val="center"/>
                    <w:rPr>
                      <w:b/>
                      <w:bCs/>
                      <w:color w:val="0000FF"/>
                      <w:sz w:val="18"/>
                      <w:szCs w:val="18"/>
                    </w:rPr>
                  </w:pPr>
                  <w:r>
                    <w:rPr>
                      <w:b/>
                      <w:bCs/>
                      <w:color w:val="0000FF"/>
                      <w:sz w:val="18"/>
                      <w:szCs w:val="18"/>
                    </w:rPr>
                    <w:t>颗粒物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6" w:type="pct"/>
                  <w:vAlign w:val="center"/>
                </w:tcPr>
                <w:p>
                  <w:pPr>
                    <w:jc w:val="center"/>
                    <w:rPr>
                      <w:color w:val="0000FF"/>
                      <w:sz w:val="18"/>
                      <w:szCs w:val="18"/>
                    </w:rPr>
                  </w:pPr>
                  <w:r>
                    <w:rPr>
                      <w:color w:val="0000FF"/>
                      <w:sz w:val="18"/>
                      <w:szCs w:val="18"/>
                    </w:rPr>
                    <w:t>DA001</w:t>
                  </w:r>
                </w:p>
              </w:tc>
              <w:tc>
                <w:tcPr>
                  <w:tcW w:w="822" w:type="pct"/>
                  <w:vAlign w:val="center"/>
                </w:tcPr>
                <w:p>
                  <w:pPr>
                    <w:jc w:val="center"/>
                    <w:rPr>
                      <w:color w:val="0000FF"/>
                      <w:sz w:val="18"/>
                      <w:szCs w:val="18"/>
                    </w:rPr>
                  </w:pPr>
                  <w:r>
                    <w:rPr>
                      <w:color w:val="0000FF"/>
                      <w:sz w:val="18"/>
                      <w:szCs w:val="18"/>
                    </w:rPr>
                    <w:t>E 99°5′6.977″</w:t>
                  </w:r>
                </w:p>
                <w:p>
                  <w:pPr>
                    <w:jc w:val="center"/>
                    <w:rPr>
                      <w:color w:val="0000FF"/>
                      <w:sz w:val="18"/>
                      <w:szCs w:val="18"/>
                    </w:rPr>
                  </w:pPr>
                  <w:r>
                    <w:rPr>
                      <w:color w:val="0000FF"/>
                      <w:sz w:val="18"/>
                      <w:szCs w:val="18"/>
                    </w:rPr>
                    <w:t>N27°21′13.641″</w:t>
                  </w:r>
                </w:p>
              </w:tc>
              <w:tc>
                <w:tcPr>
                  <w:tcW w:w="352" w:type="pct"/>
                  <w:vAlign w:val="center"/>
                </w:tcPr>
                <w:p>
                  <w:pPr>
                    <w:jc w:val="center"/>
                    <w:rPr>
                      <w:color w:val="0000FF"/>
                      <w:sz w:val="18"/>
                      <w:szCs w:val="18"/>
                    </w:rPr>
                  </w:pPr>
                  <w:r>
                    <w:rPr>
                      <w:color w:val="0000FF"/>
                      <w:sz w:val="18"/>
                      <w:szCs w:val="18"/>
                    </w:rPr>
                    <w:t>1709</w:t>
                  </w:r>
                </w:p>
              </w:tc>
              <w:tc>
                <w:tcPr>
                  <w:tcW w:w="517" w:type="pct"/>
                  <w:vAlign w:val="center"/>
                </w:tcPr>
                <w:p>
                  <w:pPr>
                    <w:jc w:val="center"/>
                    <w:rPr>
                      <w:color w:val="0000FF"/>
                      <w:sz w:val="18"/>
                      <w:szCs w:val="18"/>
                    </w:rPr>
                  </w:pPr>
                  <w:r>
                    <w:rPr>
                      <w:color w:val="0000FF"/>
                      <w:sz w:val="18"/>
                      <w:szCs w:val="18"/>
                    </w:rPr>
                    <w:t>15.0</w:t>
                  </w:r>
                </w:p>
              </w:tc>
              <w:tc>
                <w:tcPr>
                  <w:tcW w:w="518" w:type="pct"/>
                  <w:vAlign w:val="center"/>
                </w:tcPr>
                <w:p>
                  <w:pPr>
                    <w:jc w:val="center"/>
                    <w:rPr>
                      <w:color w:val="0000FF"/>
                      <w:sz w:val="18"/>
                      <w:szCs w:val="18"/>
                    </w:rPr>
                  </w:pPr>
                  <w:r>
                    <w:rPr>
                      <w:color w:val="0000FF"/>
                      <w:sz w:val="18"/>
                      <w:szCs w:val="18"/>
                    </w:rPr>
                    <w:t>0.3</w:t>
                  </w:r>
                </w:p>
              </w:tc>
              <w:tc>
                <w:tcPr>
                  <w:tcW w:w="546" w:type="pct"/>
                  <w:vAlign w:val="center"/>
                </w:tcPr>
                <w:p>
                  <w:pPr>
                    <w:jc w:val="center"/>
                    <w:rPr>
                      <w:color w:val="0000FF"/>
                      <w:sz w:val="18"/>
                      <w:szCs w:val="18"/>
                    </w:rPr>
                  </w:pPr>
                  <w:r>
                    <w:rPr>
                      <w:color w:val="0000FF"/>
                      <w:sz w:val="18"/>
                      <w:szCs w:val="18"/>
                    </w:rPr>
                    <w:t>25.0</w:t>
                  </w:r>
                </w:p>
              </w:tc>
              <w:tc>
                <w:tcPr>
                  <w:tcW w:w="538" w:type="pct"/>
                  <w:vAlign w:val="center"/>
                </w:tcPr>
                <w:p>
                  <w:pPr>
                    <w:jc w:val="center"/>
                    <w:rPr>
                      <w:color w:val="0000FF"/>
                      <w:sz w:val="18"/>
                      <w:szCs w:val="18"/>
                    </w:rPr>
                  </w:pPr>
                  <w:r>
                    <w:rPr>
                      <w:color w:val="0000FF"/>
                      <w:sz w:val="18"/>
                      <w:szCs w:val="18"/>
                    </w:rPr>
                    <w:t>11.8</w:t>
                  </w:r>
                </w:p>
              </w:tc>
              <w:tc>
                <w:tcPr>
                  <w:tcW w:w="1250" w:type="pct"/>
                  <w:vAlign w:val="center"/>
                </w:tcPr>
                <w:p>
                  <w:pPr>
                    <w:jc w:val="center"/>
                    <w:rPr>
                      <w:color w:val="0000FF"/>
                      <w:sz w:val="18"/>
                      <w:szCs w:val="18"/>
                    </w:rPr>
                  </w:pPr>
                  <w:r>
                    <w:rPr>
                      <w:color w:val="0000FF"/>
                      <w:sz w:val="18"/>
                      <w:szCs w:val="18"/>
                    </w:rPr>
                    <w:t>0.189</w:t>
                  </w:r>
                </w:p>
              </w:tc>
            </w:tr>
          </w:tbl>
          <w:p>
            <w:pPr>
              <w:spacing w:line="360" w:lineRule="auto"/>
              <w:rPr>
                <w:b/>
                <w:bCs/>
                <w:color w:val="0000FF"/>
                <w:sz w:val="24"/>
              </w:rPr>
            </w:pPr>
            <w:r>
              <w:rPr>
                <w:rFonts w:hint="eastAsia"/>
                <w:b/>
                <w:bCs/>
                <w:color w:val="0000FF"/>
                <w:sz w:val="24"/>
              </w:rPr>
              <w:t>3、大气污染防治措施及可行性分析</w:t>
            </w:r>
          </w:p>
          <w:p>
            <w:pPr>
              <w:spacing w:line="360" w:lineRule="auto"/>
              <w:ind w:firstLine="480" w:firstLineChars="200"/>
              <w:rPr>
                <w:color w:val="0000FF"/>
                <w:sz w:val="24"/>
              </w:rPr>
            </w:pPr>
            <w:r>
              <w:rPr>
                <w:rFonts w:hint="eastAsia"/>
                <w:color w:val="0000FF"/>
                <w:sz w:val="24"/>
              </w:rPr>
              <w:t>经对照《排污许可证申请与核发技术规范 陶瓷砖瓦工业》（HJ</w:t>
            </w:r>
            <w:r>
              <w:rPr>
                <w:color w:val="0000FF"/>
                <w:sz w:val="24"/>
              </w:rPr>
              <w:t xml:space="preserve"> 954-2018</w:t>
            </w:r>
            <w:r>
              <w:rPr>
                <w:rFonts w:hint="eastAsia"/>
                <w:color w:val="0000FF"/>
                <w:sz w:val="24"/>
              </w:rPr>
              <w:t>）中关于“其他制品类工业排污单位无组织排放控制要求”，本项目拟采取的颗粒物无组织排放控制措施符合其要求，拟采取污染控制技术无可行性技术，具体如下：</w:t>
            </w:r>
          </w:p>
          <w:p>
            <w:pPr>
              <w:jc w:val="center"/>
              <w:rPr>
                <w:b/>
                <w:color w:val="0000FF"/>
                <w:sz w:val="24"/>
              </w:rPr>
            </w:pPr>
            <w:r>
              <w:rPr>
                <w:rFonts w:hint="eastAsia"/>
                <w:b/>
                <w:color w:val="0000FF"/>
                <w:sz w:val="24"/>
              </w:rPr>
              <w:t>表4</w:t>
            </w:r>
            <w:r>
              <w:rPr>
                <w:b/>
                <w:color w:val="0000FF"/>
                <w:sz w:val="24"/>
              </w:rPr>
              <w:t xml:space="preserve">.6-8  </w:t>
            </w:r>
            <w:r>
              <w:rPr>
                <w:rFonts w:hint="eastAsia"/>
                <w:b/>
                <w:color w:val="0000FF"/>
                <w:sz w:val="24"/>
              </w:rPr>
              <w:t>颗粒物无组织排放控制要求对比一览表</w:t>
            </w:r>
          </w:p>
          <w:tbl>
            <w:tblPr>
              <w:tblStyle w:val="3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43"/>
              <w:gridCol w:w="3678"/>
              <w:gridCol w:w="3239"/>
              <w:gridCol w:w="8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9" w:type="pct"/>
                  <w:vAlign w:val="center"/>
                </w:tcPr>
                <w:p>
                  <w:pPr>
                    <w:jc w:val="center"/>
                    <w:rPr>
                      <w:b/>
                      <w:color w:val="0000FF"/>
                      <w:szCs w:val="21"/>
                    </w:rPr>
                  </w:pPr>
                  <w:r>
                    <w:rPr>
                      <w:rFonts w:hint="eastAsia"/>
                      <w:b/>
                      <w:color w:val="0000FF"/>
                      <w:szCs w:val="21"/>
                    </w:rPr>
                    <w:t>生产单元</w:t>
                  </w:r>
                </w:p>
              </w:tc>
              <w:tc>
                <w:tcPr>
                  <w:tcW w:w="2170" w:type="pct"/>
                  <w:vAlign w:val="center"/>
                </w:tcPr>
                <w:p>
                  <w:pPr>
                    <w:jc w:val="center"/>
                    <w:rPr>
                      <w:b/>
                      <w:color w:val="0000FF"/>
                      <w:szCs w:val="21"/>
                    </w:rPr>
                  </w:pPr>
                  <w:r>
                    <w:rPr>
                      <w:rFonts w:hint="eastAsia"/>
                      <w:b/>
                      <w:color w:val="0000FF"/>
                      <w:szCs w:val="21"/>
                    </w:rPr>
                    <w:t>无组织排放控制要求</w:t>
                  </w:r>
                </w:p>
              </w:tc>
              <w:tc>
                <w:tcPr>
                  <w:tcW w:w="1911" w:type="pct"/>
                  <w:vAlign w:val="center"/>
                </w:tcPr>
                <w:p>
                  <w:pPr>
                    <w:jc w:val="center"/>
                    <w:rPr>
                      <w:b/>
                      <w:color w:val="0000FF"/>
                      <w:szCs w:val="21"/>
                    </w:rPr>
                  </w:pPr>
                  <w:r>
                    <w:rPr>
                      <w:rFonts w:hint="eastAsia"/>
                      <w:b/>
                      <w:color w:val="0000FF"/>
                      <w:szCs w:val="21"/>
                    </w:rPr>
                    <w:t>拟采取的无组织排放控制措施</w:t>
                  </w:r>
                </w:p>
              </w:tc>
              <w:tc>
                <w:tcPr>
                  <w:tcW w:w="480" w:type="pct"/>
                  <w:vAlign w:val="center"/>
                </w:tcPr>
                <w:p>
                  <w:pPr>
                    <w:jc w:val="center"/>
                    <w:rPr>
                      <w:b/>
                      <w:color w:val="0000FF"/>
                      <w:szCs w:val="21"/>
                    </w:rPr>
                  </w:pPr>
                  <w:r>
                    <w:rPr>
                      <w:rFonts w:hint="eastAsia"/>
                      <w:b/>
                      <w:color w:val="0000FF"/>
                      <w:szCs w:val="21"/>
                    </w:rPr>
                    <w:t>是否满足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9" w:type="pct"/>
                  <w:vAlign w:val="center"/>
                </w:tcPr>
                <w:p>
                  <w:pPr>
                    <w:jc w:val="center"/>
                    <w:rPr>
                      <w:color w:val="0000FF"/>
                      <w:szCs w:val="21"/>
                    </w:rPr>
                  </w:pPr>
                  <w:r>
                    <w:rPr>
                      <w:rFonts w:hint="eastAsia"/>
                      <w:color w:val="0000FF"/>
                      <w:szCs w:val="21"/>
                    </w:rPr>
                    <w:t>原辅料制备</w:t>
                  </w:r>
                </w:p>
              </w:tc>
              <w:tc>
                <w:tcPr>
                  <w:tcW w:w="2170" w:type="pct"/>
                  <w:vAlign w:val="center"/>
                </w:tcPr>
                <w:p>
                  <w:pPr>
                    <w:rPr>
                      <w:color w:val="0000FF"/>
                      <w:szCs w:val="21"/>
                    </w:rPr>
                  </w:pPr>
                  <w:r>
                    <w:rPr>
                      <w:rFonts w:hint="eastAsia"/>
                      <w:color w:val="0000FF"/>
                      <w:szCs w:val="21"/>
                    </w:rPr>
                    <w:t>物料料场应采用封闭、半封闭料场（仓、库、棚），或四周设置防风抑尘网、挡风墙，或采取覆盖等抑尘措施，防风抑尘网、挡风墙高度不低于堆存物料高度的1.1倍，有包装袋的物料采取覆盖措施。</w:t>
                  </w:r>
                </w:p>
              </w:tc>
              <w:tc>
                <w:tcPr>
                  <w:tcW w:w="1911" w:type="pct"/>
                  <w:vAlign w:val="center"/>
                </w:tcPr>
                <w:p>
                  <w:pPr>
                    <w:rPr>
                      <w:color w:val="0000FF"/>
                      <w:szCs w:val="21"/>
                    </w:rPr>
                  </w:pPr>
                  <w:r>
                    <w:rPr>
                      <w:rFonts w:hint="eastAsia"/>
                      <w:color w:val="0000FF"/>
                      <w:szCs w:val="21"/>
                    </w:rPr>
                    <w:t>项目配置三面彩钢瓦围挡加顶，一面敞口原料堆棚和成品堆棚各1座。</w:t>
                  </w:r>
                </w:p>
              </w:tc>
              <w:tc>
                <w:tcPr>
                  <w:tcW w:w="480" w:type="pct"/>
                  <w:vAlign w:val="center"/>
                </w:tcPr>
                <w:p>
                  <w:pPr>
                    <w:jc w:val="center"/>
                    <w:rPr>
                      <w:color w:val="0000FF"/>
                      <w:szCs w:val="21"/>
                    </w:rPr>
                  </w:pPr>
                  <w:r>
                    <w:rPr>
                      <w:rFonts w:hint="eastAsia"/>
                      <w:color w:val="0000FF"/>
                      <w:szCs w:val="21"/>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9" w:type="pct"/>
                  <w:vAlign w:val="center"/>
                </w:tcPr>
                <w:p>
                  <w:pPr>
                    <w:jc w:val="center"/>
                    <w:rPr>
                      <w:color w:val="0000FF"/>
                      <w:szCs w:val="21"/>
                    </w:rPr>
                  </w:pPr>
                  <w:r>
                    <w:rPr>
                      <w:rFonts w:hint="eastAsia"/>
                      <w:color w:val="0000FF"/>
                      <w:szCs w:val="21"/>
                    </w:rPr>
                    <w:t>生产系统</w:t>
                  </w:r>
                </w:p>
              </w:tc>
              <w:tc>
                <w:tcPr>
                  <w:tcW w:w="2170" w:type="pct"/>
                  <w:vAlign w:val="center"/>
                </w:tcPr>
                <w:p>
                  <w:pPr>
                    <w:rPr>
                      <w:color w:val="0000FF"/>
                      <w:szCs w:val="21"/>
                    </w:rPr>
                  </w:pPr>
                  <w:r>
                    <w:rPr>
                      <w:rFonts w:hint="eastAsia"/>
                      <w:color w:val="0000FF"/>
                      <w:szCs w:val="21"/>
                    </w:rPr>
                    <w:t>原料的粉碎、筛分、配料、混合搅拌等工序，应采用封闭式作业，并配备除尘设施。</w:t>
                  </w:r>
                </w:p>
              </w:tc>
              <w:tc>
                <w:tcPr>
                  <w:tcW w:w="1911" w:type="pct"/>
                  <w:vAlign w:val="center"/>
                </w:tcPr>
                <w:p>
                  <w:pPr>
                    <w:rPr>
                      <w:color w:val="0000FF"/>
                      <w:szCs w:val="21"/>
                    </w:rPr>
                  </w:pPr>
                  <w:r>
                    <w:rPr>
                      <w:rFonts w:hint="eastAsia"/>
                      <w:color w:val="0000FF"/>
                      <w:szCs w:val="21"/>
                    </w:rPr>
                    <w:t>本项目破碎筛分设备均进行密闭围挡，顶部配置雾化喷淋系统进行洒水降尘。</w:t>
                  </w:r>
                </w:p>
              </w:tc>
              <w:tc>
                <w:tcPr>
                  <w:tcW w:w="480" w:type="pct"/>
                  <w:vAlign w:val="center"/>
                </w:tcPr>
                <w:p>
                  <w:pPr>
                    <w:jc w:val="center"/>
                    <w:rPr>
                      <w:color w:val="0000FF"/>
                      <w:szCs w:val="21"/>
                    </w:rPr>
                  </w:pPr>
                  <w:r>
                    <w:rPr>
                      <w:rFonts w:hint="eastAsia"/>
                      <w:color w:val="0000FF"/>
                      <w:szCs w:val="21"/>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439" w:type="pct"/>
                  <w:vAlign w:val="center"/>
                </w:tcPr>
                <w:p>
                  <w:pPr>
                    <w:jc w:val="center"/>
                    <w:rPr>
                      <w:color w:val="0000FF"/>
                      <w:szCs w:val="21"/>
                    </w:rPr>
                  </w:pPr>
                  <w:r>
                    <w:rPr>
                      <w:rFonts w:hint="eastAsia"/>
                      <w:color w:val="0000FF"/>
                      <w:szCs w:val="21"/>
                    </w:rPr>
                    <w:t>其他要求</w:t>
                  </w:r>
                </w:p>
              </w:tc>
              <w:tc>
                <w:tcPr>
                  <w:tcW w:w="2170" w:type="pct"/>
                  <w:vAlign w:val="center"/>
                </w:tcPr>
                <w:p>
                  <w:pPr>
                    <w:rPr>
                      <w:color w:val="0000FF"/>
                      <w:szCs w:val="21"/>
                    </w:rPr>
                  </w:pPr>
                  <w:r>
                    <w:rPr>
                      <w:rFonts w:hint="eastAsia"/>
                      <w:color w:val="0000FF"/>
                      <w:szCs w:val="21"/>
                    </w:rPr>
                    <w:t>道路采取清扫、洒水等措施，保持清洁。</w:t>
                  </w:r>
                </w:p>
              </w:tc>
              <w:tc>
                <w:tcPr>
                  <w:tcW w:w="1911" w:type="pct"/>
                  <w:vAlign w:val="center"/>
                </w:tcPr>
                <w:p>
                  <w:pPr>
                    <w:rPr>
                      <w:color w:val="0000FF"/>
                      <w:szCs w:val="21"/>
                    </w:rPr>
                  </w:pPr>
                  <w:r>
                    <w:rPr>
                      <w:rFonts w:hint="eastAsia"/>
                      <w:color w:val="0000FF"/>
                      <w:szCs w:val="21"/>
                    </w:rPr>
                    <w:t>项目运营期晴天定期对厂区运输道路进行洒水降尘，配置雾炮机1台对运输扬尘进行控制。</w:t>
                  </w:r>
                </w:p>
              </w:tc>
              <w:tc>
                <w:tcPr>
                  <w:tcW w:w="480" w:type="pct"/>
                  <w:vAlign w:val="center"/>
                </w:tcPr>
                <w:p>
                  <w:pPr>
                    <w:jc w:val="center"/>
                    <w:rPr>
                      <w:color w:val="0000FF"/>
                      <w:szCs w:val="21"/>
                    </w:rPr>
                  </w:pPr>
                  <w:r>
                    <w:rPr>
                      <w:rFonts w:hint="eastAsia"/>
                      <w:color w:val="0000FF"/>
                      <w:szCs w:val="21"/>
                    </w:rPr>
                    <w:t>满足</w:t>
                  </w:r>
                </w:p>
              </w:tc>
            </w:tr>
          </w:tbl>
          <w:p>
            <w:pPr>
              <w:jc w:val="center"/>
              <w:rPr>
                <w:color w:val="0000FF"/>
                <w:szCs w:val="21"/>
              </w:rPr>
            </w:pPr>
          </w:p>
          <w:p>
            <w:pPr>
              <w:jc w:val="center"/>
              <w:rPr>
                <w:b/>
                <w:color w:val="0000FF"/>
                <w:sz w:val="24"/>
              </w:rPr>
            </w:pPr>
            <w:r>
              <w:rPr>
                <w:rFonts w:hint="eastAsia"/>
                <w:b/>
                <w:color w:val="0000FF"/>
                <w:sz w:val="24"/>
              </w:rPr>
              <w:t>表4</w:t>
            </w:r>
            <w:r>
              <w:rPr>
                <w:b/>
                <w:color w:val="0000FF"/>
                <w:sz w:val="24"/>
              </w:rPr>
              <w:t xml:space="preserve">.6-9  </w:t>
            </w:r>
            <w:r>
              <w:rPr>
                <w:rFonts w:hint="eastAsia"/>
                <w:b/>
                <w:color w:val="0000FF"/>
                <w:sz w:val="24"/>
              </w:rPr>
              <w:t>排污单位废气污染防治可行技术对比一览表</w:t>
            </w:r>
          </w:p>
          <w:tbl>
            <w:tblPr>
              <w:tblStyle w:val="3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661"/>
              <w:gridCol w:w="1268"/>
              <w:gridCol w:w="1556"/>
              <w:gridCol w:w="2287"/>
              <w:gridCol w:w="7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70" w:type="pct"/>
                  <w:vAlign w:val="center"/>
                </w:tcPr>
                <w:p>
                  <w:pPr>
                    <w:jc w:val="center"/>
                    <w:rPr>
                      <w:b/>
                      <w:color w:val="0000FF"/>
                      <w:szCs w:val="21"/>
                    </w:rPr>
                  </w:pPr>
                  <w:r>
                    <w:rPr>
                      <w:rFonts w:hint="eastAsia"/>
                      <w:b/>
                      <w:color w:val="0000FF"/>
                      <w:szCs w:val="21"/>
                    </w:rPr>
                    <w:t>排放口</w:t>
                  </w:r>
                </w:p>
              </w:tc>
              <w:tc>
                <w:tcPr>
                  <w:tcW w:w="748" w:type="pct"/>
                  <w:vAlign w:val="center"/>
                </w:tcPr>
                <w:p>
                  <w:pPr>
                    <w:jc w:val="center"/>
                    <w:rPr>
                      <w:b/>
                      <w:color w:val="0000FF"/>
                      <w:szCs w:val="21"/>
                    </w:rPr>
                  </w:pPr>
                  <w:r>
                    <w:rPr>
                      <w:rFonts w:hint="eastAsia"/>
                      <w:b/>
                      <w:color w:val="0000FF"/>
                      <w:szCs w:val="21"/>
                    </w:rPr>
                    <w:t>主要</w:t>
                  </w:r>
                </w:p>
                <w:p>
                  <w:pPr>
                    <w:jc w:val="center"/>
                    <w:rPr>
                      <w:b/>
                      <w:color w:val="0000FF"/>
                      <w:szCs w:val="21"/>
                    </w:rPr>
                  </w:pPr>
                  <w:r>
                    <w:rPr>
                      <w:rFonts w:hint="eastAsia"/>
                      <w:b/>
                      <w:color w:val="0000FF"/>
                      <w:szCs w:val="21"/>
                    </w:rPr>
                    <w:t>污染物</w:t>
                  </w:r>
                </w:p>
              </w:tc>
              <w:tc>
                <w:tcPr>
                  <w:tcW w:w="918" w:type="pct"/>
                  <w:vAlign w:val="center"/>
                </w:tcPr>
                <w:p>
                  <w:pPr>
                    <w:jc w:val="center"/>
                    <w:rPr>
                      <w:b/>
                      <w:color w:val="0000FF"/>
                      <w:szCs w:val="21"/>
                    </w:rPr>
                  </w:pPr>
                  <w:r>
                    <w:rPr>
                      <w:rFonts w:hint="eastAsia"/>
                      <w:b/>
                      <w:color w:val="0000FF"/>
                      <w:szCs w:val="21"/>
                    </w:rPr>
                    <w:t>可行技术</w:t>
                  </w:r>
                </w:p>
              </w:tc>
              <w:tc>
                <w:tcPr>
                  <w:tcW w:w="1349" w:type="pct"/>
                  <w:vAlign w:val="center"/>
                </w:tcPr>
                <w:p>
                  <w:pPr>
                    <w:jc w:val="center"/>
                    <w:rPr>
                      <w:b/>
                      <w:color w:val="0000FF"/>
                      <w:szCs w:val="21"/>
                    </w:rPr>
                  </w:pPr>
                  <w:r>
                    <w:rPr>
                      <w:rFonts w:hint="eastAsia"/>
                      <w:b/>
                      <w:color w:val="0000FF"/>
                      <w:szCs w:val="21"/>
                    </w:rPr>
                    <w:t>采取技术</w:t>
                  </w:r>
                </w:p>
              </w:tc>
              <w:tc>
                <w:tcPr>
                  <w:tcW w:w="414" w:type="pct"/>
                  <w:vAlign w:val="center"/>
                </w:tcPr>
                <w:p>
                  <w:pPr>
                    <w:jc w:val="center"/>
                    <w:rPr>
                      <w:b/>
                      <w:color w:val="0000FF"/>
                      <w:szCs w:val="21"/>
                    </w:rPr>
                  </w:pPr>
                  <w:r>
                    <w:rPr>
                      <w:rFonts w:hint="eastAsia"/>
                      <w:b/>
                      <w:color w:val="0000FF"/>
                      <w:szCs w:val="21"/>
                    </w:rPr>
                    <w:t>是否可行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70" w:type="pct"/>
                  <w:vAlign w:val="center"/>
                </w:tcPr>
                <w:p>
                  <w:pPr>
                    <w:jc w:val="center"/>
                    <w:rPr>
                      <w:color w:val="0000FF"/>
                      <w:szCs w:val="21"/>
                    </w:rPr>
                  </w:pPr>
                  <w:r>
                    <w:rPr>
                      <w:rFonts w:hint="eastAsia"/>
                      <w:color w:val="0000FF"/>
                      <w:szCs w:val="21"/>
                    </w:rPr>
                    <w:t>生产过程中破碎机、搅拌机、成型机、其他废气收集装置等对应排放口</w:t>
                  </w:r>
                </w:p>
              </w:tc>
              <w:tc>
                <w:tcPr>
                  <w:tcW w:w="748" w:type="pct"/>
                  <w:vAlign w:val="center"/>
                </w:tcPr>
                <w:p>
                  <w:pPr>
                    <w:jc w:val="center"/>
                    <w:rPr>
                      <w:color w:val="0000FF"/>
                      <w:szCs w:val="21"/>
                    </w:rPr>
                  </w:pPr>
                  <w:r>
                    <w:rPr>
                      <w:rFonts w:hint="eastAsia"/>
                      <w:color w:val="0000FF"/>
                      <w:szCs w:val="21"/>
                    </w:rPr>
                    <w:t>颗粒物</w:t>
                  </w:r>
                </w:p>
              </w:tc>
              <w:tc>
                <w:tcPr>
                  <w:tcW w:w="918" w:type="pct"/>
                  <w:vAlign w:val="center"/>
                </w:tcPr>
                <w:p>
                  <w:pPr>
                    <w:jc w:val="center"/>
                    <w:rPr>
                      <w:color w:val="0000FF"/>
                      <w:szCs w:val="21"/>
                    </w:rPr>
                  </w:pPr>
                  <w:r>
                    <w:rPr>
                      <w:rFonts w:hint="eastAsia"/>
                      <w:color w:val="0000FF"/>
                      <w:szCs w:val="21"/>
                    </w:rPr>
                    <w:t>湿法作业或采用袋式除尘等技术</w:t>
                  </w:r>
                </w:p>
              </w:tc>
              <w:tc>
                <w:tcPr>
                  <w:tcW w:w="1349" w:type="pct"/>
                  <w:vAlign w:val="center"/>
                </w:tcPr>
                <w:p>
                  <w:pPr>
                    <w:jc w:val="center"/>
                    <w:rPr>
                      <w:color w:val="0000FF"/>
                      <w:szCs w:val="21"/>
                    </w:rPr>
                  </w:pPr>
                  <w:r>
                    <w:rPr>
                      <w:rFonts w:hint="eastAsia"/>
                      <w:color w:val="0000FF"/>
                      <w:szCs w:val="21"/>
                    </w:rPr>
                    <w:t>本项目配置1台袋式除尘器对破碎筛分粉尘进行收集处理后通过1根15m高排气筒（DA001）进行有组织排放</w:t>
                  </w:r>
                </w:p>
              </w:tc>
              <w:tc>
                <w:tcPr>
                  <w:tcW w:w="414" w:type="pct"/>
                  <w:vAlign w:val="center"/>
                </w:tcPr>
                <w:p>
                  <w:pPr>
                    <w:jc w:val="center"/>
                    <w:rPr>
                      <w:color w:val="0000FF"/>
                      <w:szCs w:val="21"/>
                    </w:rPr>
                  </w:pPr>
                  <w:r>
                    <w:rPr>
                      <w:rFonts w:hint="eastAsia"/>
                      <w:color w:val="0000FF"/>
                      <w:szCs w:val="21"/>
                    </w:rPr>
                    <w:t>是</w:t>
                  </w:r>
                </w:p>
              </w:tc>
            </w:tr>
          </w:tbl>
          <w:p>
            <w:pPr>
              <w:spacing w:line="360" w:lineRule="auto"/>
              <w:rPr>
                <w:b/>
                <w:bCs/>
                <w:color w:val="0000FF"/>
                <w:sz w:val="24"/>
              </w:rPr>
            </w:pPr>
            <w:r>
              <w:rPr>
                <w:b/>
                <w:bCs/>
                <w:color w:val="0000FF"/>
                <w:sz w:val="24"/>
              </w:rPr>
              <w:t>4</w:t>
            </w:r>
            <w:r>
              <w:rPr>
                <w:rFonts w:hint="eastAsia"/>
                <w:b/>
                <w:bCs/>
                <w:color w:val="0000FF"/>
                <w:sz w:val="24"/>
              </w:rPr>
              <w:t>、废气达标排放情况</w:t>
            </w:r>
          </w:p>
          <w:p>
            <w:pPr>
              <w:spacing w:line="360" w:lineRule="auto"/>
              <w:ind w:firstLine="481" w:firstLineChars="200"/>
              <w:rPr>
                <w:b/>
                <w:color w:val="0000FF"/>
                <w:sz w:val="24"/>
              </w:rPr>
            </w:pPr>
            <w:bookmarkStart w:id="51" w:name="_Hlk134453334"/>
            <w:r>
              <w:rPr>
                <w:rFonts w:hint="eastAsia"/>
                <w:b/>
                <w:color w:val="0000FF"/>
                <w:sz w:val="24"/>
              </w:rPr>
              <w:t>（1）有组织排放达标情况</w:t>
            </w:r>
          </w:p>
          <w:p>
            <w:pPr>
              <w:spacing w:line="360" w:lineRule="auto"/>
              <w:ind w:firstLine="480" w:firstLineChars="200"/>
              <w:rPr>
                <w:color w:val="0000FF"/>
                <w:sz w:val="24"/>
              </w:rPr>
            </w:pPr>
            <w:r>
              <w:rPr>
                <w:rFonts w:hint="eastAsia"/>
                <w:color w:val="0000FF"/>
                <w:sz w:val="24"/>
              </w:rPr>
              <w:t>本项目配置1台袋式除尘器对破碎筛分粉尘进行收集处理后通过1根15m高排气筒（DA001）进行有组织排放，排气筒DA</w:t>
            </w:r>
            <w:r>
              <w:rPr>
                <w:color w:val="0000FF"/>
                <w:sz w:val="24"/>
              </w:rPr>
              <w:t>001</w:t>
            </w:r>
            <w:r>
              <w:rPr>
                <w:rFonts w:hint="eastAsia"/>
                <w:color w:val="0000FF"/>
                <w:sz w:val="24"/>
              </w:rPr>
              <w:t>达标排放情况如下：</w:t>
            </w:r>
          </w:p>
          <w:p>
            <w:pPr>
              <w:jc w:val="center"/>
              <w:rPr>
                <w:b/>
                <w:color w:val="0000FF"/>
                <w:sz w:val="24"/>
              </w:rPr>
            </w:pPr>
            <w:r>
              <w:rPr>
                <w:rFonts w:hint="eastAsia"/>
                <w:b/>
                <w:color w:val="0000FF"/>
                <w:sz w:val="24"/>
              </w:rPr>
              <w:t>表4</w:t>
            </w:r>
            <w:r>
              <w:rPr>
                <w:b/>
                <w:color w:val="0000FF"/>
                <w:sz w:val="24"/>
              </w:rPr>
              <w:t xml:space="preserve">.6-10  </w:t>
            </w:r>
            <w:r>
              <w:rPr>
                <w:rFonts w:hint="eastAsia"/>
                <w:b/>
                <w:color w:val="0000FF"/>
                <w:sz w:val="24"/>
              </w:rPr>
              <w:t>排气筒DA</w:t>
            </w:r>
            <w:r>
              <w:rPr>
                <w:b/>
                <w:color w:val="0000FF"/>
                <w:sz w:val="24"/>
              </w:rPr>
              <w:t>001</w:t>
            </w:r>
            <w:r>
              <w:rPr>
                <w:rFonts w:hint="eastAsia"/>
                <w:b/>
                <w:color w:val="0000FF"/>
                <w:sz w:val="24"/>
              </w:rPr>
              <w:t>大气污染物达标排放情况一览表</w:t>
            </w:r>
          </w:p>
          <w:tbl>
            <w:tblPr>
              <w:tblStyle w:val="3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03"/>
              <w:gridCol w:w="1099"/>
              <w:gridCol w:w="1276"/>
              <w:gridCol w:w="1252"/>
              <w:gridCol w:w="1252"/>
              <w:gridCol w:w="1339"/>
              <w:gridCol w:w="12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96" w:type="pct"/>
                  <w:vMerge w:val="restart"/>
                  <w:vAlign w:val="center"/>
                </w:tcPr>
                <w:p>
                  <w:pPr>
                    <w:jc w:val="center"/>
                    <w:rPr>
                      <w:b/>
                      <w:color w:val="0000FF"/>
                      <w:szCs w:val="21"/>
                    </w:rPr>
                  </w:pPr>
                  <w:r>
                    <w:rPr>
                      <w:rFonts w:hint="eastAsia"/>
                      <w:b/>
                      <w:color w:val="0000FF"/>
                      <w:szCs w:val="21"/>
                    </w:rPr>
                    <w:t>排放源</w:t>
                  </w:r>
                </w:p>
              </w:tc>
              <w:tc>
                <w:tcPr>
                  <w:tcW w:w="2124" w:type="pct"/>
                  <w:gridSpan w:val="3"/>
                  <w:vAlign w:val="center"/>
                </w:tcPr>
                <w:p>
                  <w:pPr>
                    <w:jc w:val="center"/>
                    <w:rPr>
                      <w:b/>
                      <w:color w:val="0000FF"/>
                      <w:szCs w:val="21"/>
                    </w:rPr>
                  </w:pPr>
                  <w:r>
                    <w:rPr>
                      <w:rFonts w:hint="eastAsia"/>
                      <w:b/>
                      <w:color w:val="0000FF"/>
                      <w:szCs w:val="21"/>
                    </w:rPr>
                    <w:t>排放情况</w:t>
                  </w:r>
                </w:p>
              </w:tc>
              <w:tc>
                <w:tcPr>
                  <w:tcW w:w="1537" w:type="pct"/>
                  <w:gridSpan w:val="2"/>
                  <w:vAlign w:val="center"/>
                </w:tcPr>
                <w:p>
                  <w:pPr>
                    <w:jc w:val="center"/>
                    <w:rPr>
                      <w:b/>
                      <w:color w:val="0000FF"/>
                      <w:szCs w:val="21"/>
                    </w:rPr>
                  </w:pPr>
                  <w:r>
                    <w:rPr>
                      <w:rFonts w:hint="eastAsia"/>
                      <w:b/>
                      <w:color w:val="0000FF"/>
                      <w:szCs w:val="21"/>
                    </w:rPr>
                    <w:t>标准值</w:t>
                  </w:r>
                </w:p>
              </w:tc>
              <w:tc>
                <w:tcPr>
                  <w:tcW w:w="743" w:type="pct"/>
                  <w:vMerge w:val="restart"/>
                  <w:vAlign w:val="center"/>
                </w:tcPr>
                <w:p>
                  <w:pPr>
                    <w:jc w:val="center"/>
                    <w:rPr>
                      <w:b/>
                      <w:color w:val="0000FF"/>
                      <w:szCs w:val="21"/>
                    </w:rPr>
                  </w:pPr>
                  <w:r>
                    <w:rPr>
                      <w:rFonts w:hint="eastAsia"/>
                      <w:b/>
                      <w:color w:val="0000FF"/>
                      <w:szCs w:val="21"/>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96" w:type="pct"/>
                  <w:vMerge w:val="continue"/>
                  <w:vAlign w:val="center"/>
                </w:tcPr>
                <w:p>
                  <w:pPr>
                    <w:jc w:val="center"/>
                    <w:rPr>
                      <w:color w:val="0000FF"/>
                      <w:szCs w:val="21"/>
                    </w:rPr>
                  </w:pPr>
                </w:p>
              </w:tc>
              <w:tc>
                <w:tcPr>
                  <w:tcW w:w="633" w:type="pct"/>
                  <w:vAlign w:val="center"/>
                </w:tcPr>
                <w:p>
                  <w:pPr>
                    <w:jc w:val="center"/>
                    <w:rPr>
                      <w:b/>
                      <w:color w:val="0000FF"/>
                      <w:szCs w:val="21"/>
                    </w:rPr>
                  </w:pPr>
                  <w:r>
                    <w:rPr>
                      <w:rFonts w:hint="eastAsia"/>
                      <w:b/>
                      <w:color w:val="0000FF"/>
                      <w:szCs w:val="21"/>
                    </w:rPr>
                    <w:t>排放量</w:t>
                  </w:r>
                </w:p>
              </w:tc>
              <w:tc>
                <w:tcPr>
                  <w:tcW w:w="748" w:type="pct"/>
                  <w:vAlign w:val="center"/>
                </w:tcPr>
                <w:p>
                  <w:pPr>
                    <w:jc w:val="center"/>
                    <w:rPr>
                      <w:b/>
                      <w:color w:val="0000FF"/>
                      <w:szCs w:val="21"/>
                    </w:rPr>
                  </w:pPr>
                  <w:r>
                    <w:rPr>
                      <w:rFonts w:hint="eastAsia"/>
                      <w:b/>
                      <w:color w:val="0000FF"/>
                      <w:szCs w:val="21"/>
                    </w:rPr>
                    <w:t>排放速率</w:t>
                  </w:r>
                </w:p>
              </w:tc>
              <w:tc>
                <w:tcPr>
                  <w:tcW w:w="743" w:type="pct"/>
                  <w:vAlign w:val="center"/>
                </w:tcPr>
                <w:p>
                  <w:pPr>
                    <w:jc w:val="center"/>
                    <w:rPr>
                      <w:b/>
                      <w:color w:val="0000FF"/>
                      <w:szCs w:val="21"/>
                    </w:rPr>
                  </w:pPr>
                  <w:r>
                    <w:rPr>
                      <w:rFonts w:hint="eastAsia"/>
                      <w:b/>
                      <w:color w:val="0000FF"/>
                      <w:szCs w:val="21"/>
                    </w:rPr>
                    <w:t>排放浓度</w:t>
                  </w:r>
                </w:p>
              </w:tc>
              <w:tc>
                <w:tcPr>
                  <w:tcW w:w="743" w:type="pct"/>
                  <w:vAlign w:val="center"/>
                </w:tcPr>
                <w:p>
                  <w:pPr>
                    <w:jc w:val="center"/>
                    <w:rPr>
                      <w:b/>
                      <w:color w:val="0000FF"/>
                      <w:szCs w:val="21"/>
                    </w:rPr>
                  </w:pPr>
                  <w:r>
                    <w:rPr>
                      <w:rFonts w:hint="eastAsia"/>
                      <w:b/>
                      <w:color w:val="0000FF"/>
                      <w:szCs w:val="21"/>
                    </w:rPr>
                    <w:t>排放速率</w:t>
                  </w:r>
                </w:p>
              </w:tc>
              <w:tc>
                <w:tcPr>
                  <w:tcW w:w="793" w:type="pct"/>
                  <w:vAlign w:val="center"/>
                </w:tcPr>
                <w:p>
                  <w:pPr>
                    <w:jc w:val="center"/>
                    <w:rPr>
                      <w:b/>
                      <w:color w:val="0000FF"/>
                      <w:szCs w:val="21"/>
                    </w:rPr>
                  </w:pPr>
                  <w:r>
                    <w:rPr>
                      <w:rFonts w:hint="eastAsia"/>
                      <w:b/>
                      <w:color w:val="0000FF"/>
                      <w:szCs w:val="21"/>
                    </w:rPr>
                    <w:t>排放浓度</w:t>
                  </w:r>
                </w:p>
              </w:tc>
              <w:tc>
                <w:tcPr>
                  <w:tcW w:w="743" w:type="pct"/>
                  <w:vMerge w:val="continue"/>
                  <w:vAlign w:val="center"/>
                </w:tcPr>
                <w:p>
                  <w:pPr>
                    <w:jc w:val="center"/>
                    <w:rPr>
                      <w:color w:val="0000FF"/>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96" w:type="pct"/>
                  <w:vAlign w:val="center"/>
                </w:tcPr>
                <w:p>
                  <w:pPr>
                    <w:jc w:val="center"/>
                    <w:rPr>
                      <w:color w:val="0000FF"/>
                      <w:szCs w:val="21"/>
                    </w:rPr>
                  </w:pPr>
                  <w:r>
                    <w:rPr>
                      <w:rFonts w:hint="eastAsia"/>
                      <w:color w:val="0000FF"/>
                      <w:szCs w:val="21"/>
                    </w:rPr>
                    <w:t>DA</w:t>
                  </w:r>
                  <w:r>
                    <w:rPr>
                      <w:color w:val="0000FF"/>
                      <w:szCs w:val="21"/>
                    </w:rPr>
                    <w:t>001</w:t>
                  </w:r>
                </w:p>
              </w:tc>
              <w:tc>
                <w:tcPr>
                  <w:tcW w:w="633" w:type="pct"/>
                  <w:vAlign w:val="center"/>
                </w:tcPr>
                <w:p>
                  <w:pPr>
                    <w:jc w:val="center"/>
                    <w:rPr>
                      <w:color w:val="0000FF"/>
                      <w:szCs w:val="21"/>
                    </w:rPr>
                  </w:pPr>
                  <w:r>
                    <w:rPr>
                      <w:rFonts w:hint="eastAsia"/>
                      <w:color w:val="0000FF"/>
                      <w:szCs w:val="21"/>
                    </w:rPr>
                    <w:t>0</w:t>
                  </w:r>
                  <w:r>
                    <w:rPr>
                      <w:color w:val="0000FF"/>
                      <w:szCs w:val="21"/>
                    </w:rPr>
                    <w:t>.454t/a</w:t>
                  </w:r>
                </w:p>
              </w:tc>
              <w:tc>
                <w:tcPr>
                  <w:tcW w:w="748" w:type="pct"/>
                  <w:vAlign w:val="center"/>
                </w:tcPr>
                <w:p>
                  <w:pPr>
                    <w:jc w:val="center"/>
                    <w:rPr>
                      <w:color w:val="0000FF"/>
                      <w:szCs w:val="21"/>
                    </w:rPr>
                  </w:pPr>
                  <w:r>
                    <w:rPr>
                      <w:rFonts w:hint="eastAsia"/>
                      <w:color w:val="0000FF"/>
                      <w:szCs w:val="21"/>
                    </w:rPr>
                    <w:t>0</w:t>
                  </w:r>
                  <w:r>
                    <w:rPr>
                      <w:color w:val="0000FF"/>
                      <w:szCs w:val="21"/>
                    </w:rPr>
                    <w:t>.189kg/h</w:t>
                  </w:r>
                </w:p>
              </w:tc>
              <w:tc>
                <w:tcPr>
                  <w:tcW w:w="743" w:type="pct"/>
                  <w:vAlign w:val="center"/>
                </w:tcPr>
                <w:p>
                  <w:pPr>
                    <w:jc w:val="center"/>
                    <w:rPr>
                      <w:color w:val="0000FF"/>
                      <w:szCs w:val="21"/>
                    </w:rPr>
                  </w:pPr>
                  <w:r>
                    <w:rPr>
                      <w:rFonts w:hint="eastAsia"/>
                      <w:color w:val="0000FF"/>
                      <w:szCs w:val="21"/>
                    </w:rPr>
                    <w:t>6</w:t>
                  </w:r>
                  <w:r>
                    <w:rPr>
                      <w:color w:val="0000FF"/>
                      <w:szCs w:val="21"/>
                    </w:rPr>
                    <w:t>3</w:t>
                  </w:r>
                  <w:r>
                    <w:rPr>
                      <w:rFonts w:hint="eastAsia"/>
                      <w:color w:val="0000FF"/>
                      <w:szCs w:val="21"/>
                    </w:rPr>
                    <w:t>mg</w:t>
                  </w:r>
                  <w:r>
                    <w:rPr>
                      <w:color w:val="0000FF"/>
                      <w:szCs w:val="21"/>
                    </w:rPr>
                    <w:t>/</w:t>
                  </w:r>
                  <w:r>
                    <w:rPr>
                      <w:rFonts w:hint="eastAsia"/>
                      <w:color w:val="0000FF"/>
                      <w:szCs w:val="21"/>
                    </w:rPr>
                    <w:t>m³</w:t>
                  </w:r>
                </w:p>
              </w:tc>
              <w:tc>
                <w:tcPr>
                  <w:tcW w:w="743" w:type="pct"/>
                  <w:vAlign w:val="center"/>
                </w:tcPr>
                <w:p>
                  <w:pPr>
                    <w:jc w:val="center"/>
                    <w:rPr>
                      <w:color w:val="0000FF"/>
                      <w:szCs w:val="21"/>
                    </w:rPr>
                  </w:pPr>
                  <w:r>
                    <w:rPr>
                      <w:rFonts w:hint="eastAsia"/>
                      <w:color w:val="0000FF"/>
                      <w:szCs w:val="21"/>
                    </w:rPr>
                    <w:t>3</w:t>
                  </w:r>
                  <w:r>
                    <w:rPr>
                      <w:color w:val="0000FF"/>
                      <w:szCs w:val="21"/>
                    </w:rPr>
                    <w:t>.5</w:t>
                  </w:r>
                  <w:r>
                    <w:rPr>
                      <w:rFonts w:hint="eastAsia"/>
                      <w:color w:val="0000FF"/>
                      <w:szCs w:val="21"/>
                    </w:rPr>
                    <w:t>kg</w:t>
                  </w:r>
                  <w:r>
                    <w:rPr>
                      <w:color w:val="0000FF"/>
                      <w:szCs w:val="21"/>
                    </w:rPr>
                    <w:t>/</w:t>
                  </w:r>
                  <w:r>
                    <w:rPr>
                      <w:rFonts w:hint="eastAsia"/>
                      <w:color w:val="0000FF"/>
                      <w:szCs w:val="21"/>
                    </w:rPr>
                    <w:t>h</w:t>
                  </w:r>
                </w:p>
              </w:tc>
              <w:tc>
                <w:tcPr>
                  <w:tcW w:w="793" w:type="pct"/>
                  <w:vAlign w:val="center"/>
                </w:tcPr>
                <w:p>
                  <w:pPr>
                    <w:jc w:val="center"/>
                    <w:rPr>
                      <w:color w:val="0000FF"/>
                      <w:szCs w:val="21"/>
                    </w:rPr>
                  </w:pPr>
                  <w:r>
                    <w:rPr>
                      <w:rFonts w:hint="eastAsia"/>
                      <w:color w:val="0000FF"/>
                      <w:szCs w:val="21"/>
                    </w:rPr>
                    <w:t>1</w:t>
                  </w:r>
                  <w:r>
                    <w:rPr>
                      <w:color w:val="0000FF"/>
                      <w:szCs w:val="21"/>
                    </w:rPr>
                    <w:t>20</w:t>
                  </w:r>
                  <w:r>
                    <w:rPr>
                      <w:rFonts w:hint="eastAsia"/>
                      <w:color w:val="0000FF"/>
                      <w:szCs w:val="21"/>
                    </w:rPr>
                    <w:t>mg</w:t>
                  </w:r>
                  <w:r>
                    <w:rPr>
                      <w:color w:val="0000FF"/>
                      <w:szCs w:val="21"/>
                    </w:rPr>
                    <w:t>/</w:t>
                  </w:r>
                  <w:r>
                    <w:rPr>
                      <w:rFonts w:hint="eastAsia"/>
                      <w:color w:val="0000FF"/>
                      <w:szCs w:val="21"/>
                    </w:rPr>
                    <w:t>m³</w:t>
                  </w:r>
                </w:p>
              </w:tc>
              <w:tc>
                <w:tcPr>
                  <w:tcW w:w="743" w:type="pct"/>
                  <w:vAlign w:val="center"/>
                </w:tcPr>
                <w:p>
                  <w:pPr>
                    <w:jc w:val="center"/>
                    <w:rPr>
                      <w:color w:val="0000FF"/>
                      <w:szCs w:val="21"/>
                    </w:rPr>
                  </w:pPr>
                  <w:r>
                    <w:rPr>
                      <w:rFonts w:hint="eastAsia"/>
                      <w:color w:val="0000FF"/>
                      <w:szCs w:val="21"/>
                    </w:rPr>
                    <w:t>达标</w:t>
                  </w:r>
                </w:p>
              </w:tc>
            </w:tr>
          </w:tbl>
          <w:p>
            <w:pPr>
              <w:spacing w:line="360" w:lineRule="auto"/>
              <w:ind w:firstLine="480" w:firstLineChars="200"/>
              <w:rPr>
                <w:color w:val="0000FF"/>
                <w:sz w:val="24"/>
              </w:rPr>
            </w:pPr>
            <w:r>
              <w:rPr>
                <w:rFonts w:hint="eastAsia"/>
                <w:color w:val="0000FF"/>
                <w:sz w:val="24"/>
              </w:rPr>
              <w:t>根据上表分析，项目运营期破碎、筛分粉尘经布袋除尘器收集处理后通过1</w:t>
            </w:r>
            <w:r>
              <w:rPr>
                <w:color w:val="0000FF"/>
                <w:sz w:val="24"/>
              </w:rPr>
              <w:t>5</w:t>
            </w:r>
            <w:r>
              <w:rPr>
                <w:rFonts w:hint="eastAsia"/>
                <w:color w:val="0000FF"/>
                <w:sz w:val="24"/>
              </w:rPr>
              <w:t>m高排气筒DA</w:t>
            </w:r>
            <w:r>
              <w:rPr>
                <w:color w:val="0000FF"/>
                <w:sz w:val="24"/>
              </w:rPr>
              <w:t>001</w:t>
            </w:r>
            <w:r>
              <w:rPr>
                <w:rFonts w:hint="eastAsia"/>
                <w:color w:val="0000FF"/>
                <w:sz w:val="24"/>
              </w:rPr>
              <w:t>有组织排放可达《大气污染物综合排放标准》（GB 16297-1996）表2中15m高排气筒二级限值要求，可做到达标排放。</w:t>
            </w:r>
          </w:p>
          <w:p>
            <w:pPr>
              <w:spacing w:line="360" w:lineRule="auto"/>
              <w:ind w:firstLine="481" w:firstLineChars="200"/>
              <w:rPr>
                <w:b/>
                <w:color w:val="0000FF"/>
                <w:sz w:val="24"/>
              </w:rPr>
            </w:pPr>
            <w:r>
              <w:rPr>
                <w:rFonts w:hint="eastAsia"/>
                <w:b/>
                <w:color w:val="0000FF"/>
                <w:sz w:val="24"/>
              </w:rPr>
              <w:t>（</w:t>
            </w:r>
            <w:r>
              <w:rPr>
                <w:b/>
                <w:color w:val="0000FF"/>
                <w:sz w:val="24"/>
              </w:rPr>
              <w:t>2</w:t>
            </w:r>
            <w:r>
              <w:rPr>
                <w:rFonts w:hint="eastAsia"/>
                <w:b/>
                <w:color w:val="0000FF"/>
                <w:sz w:val="24"/>
              </w:rPr>
              <w:t>）无组织排放达标情况</w:t>
            </w:r>
          </w:p>
          <w:p>
            <w:pPr>
              <w:spacing w:line="360" w:lineRule="auto"/>
              <w:ind w:firstLine="480" w:firstLineChars="200"/>
              <w:rPr>
                <w:color w:val="0000FF"/>
                <w:sz w:val="24"/>
              </w:rPr>
            </w:pPr>
            <w:r>
              <w:rPr>
                <w:rFonts w:hint="eastAsia"/>
                <w:color w:val="0000FF"/>
                <w:sz w:val="24"/>
              </w:rPr>
              <w:t>项目运营期运输扬尘、物料堆棚扬尘经合理可行措施控制后进行无组织排放，本次评价将生产加工区等效为一矩形面源，该等效面源颗粒物（TSP）无组织排放速率为</w:t>
            </w:r>
            <w:r>
              <w:rPr>
                <w:color w:val="0000FF"/>
                <w:sz w:val="24"/>
              </w:rPr>
              <w:t>0.89</w:t>
            </w:r>
            <w:r>
              <w:rPr>
                <w:rFonts w:hint="eastAsia"/>
                <w:color w:val="0000FF"/>
                <w:sz w:val="24"/>
              </w:rPr>
              <w:t>kg</w:t>
            </w:r>
            <w:r>
              <w:rPr>
                <w:color w:val="0000FF"/>
                <w:sz w:val="24"/>
              </w:rPr>
              <w:t>/</w:t>
            </w:r>
            <w:r>
              <w:rPr>
                <w:rFonts w:hint="eastAsia"/>
                <w:color w:val="0000FF"/>
                <w:sz w:val="24"/>
              </w:rPr>
              <w:t>h。</w:t>
            </w:r>
          </w:p>
          <w:p>
            <w:pPr>
              <w:spacing w:line="360" w:lineRule="auto"/>
              <w:ind w:firstLine="480" w:firstLineChars="200"/>
              <w:rPr>
                <w:color w:val="0000FF"/>
                <w:sz w:val="24"/>
              </w:rPr>
            </w:pPr>
            <w:r>
              <w:rPr>
                <w:rFonts w:hint="eastAsia"/>
                <w:color w:val="0000FF"/>
                <w:sz w:val="24"/>
              </w:rPr>
              <w:t>本次运用《环境影响评价技术导则 大气环境》（HJ</w:t>
            </w:r>
            <w:r>
              <w:rPr>
                <w:color w:val="0000FF"/>
                <w:sz w:val="24"/>
              </w:rPr>
              <w:t xml:space="preserve"> 2.2-2018</w:t>
            </w:r>
            <w:r>
              <w:rPr>
                <w:rFonts w:hint="eastAsia"/>
                <w:color w:val="0000FF"/>
                <w:sz w:val="24"/>
              </w:rPr>
              <w:t>）推荐的AERSCREEN模型对项目运营期颗粒物无组织排放情况进行预测，根据预测结果，项目运营期颗粒物无组织排放情况如下：</w:t>
            </w:r>
          </w:p>
          <w:p>
            <w:pPr>
              <w:jc w:val="center"/>
              <w:rPr>
                <w:b/>
                <w:color w:val="0000FF"/>
                <w:sz w:val="24"/>
              </w:rPr>
            </w:pPr>
            <w:r>
              <w:rPr>
                <w:rFonts w:hint="eastAsia"/>
                <w:b/>
                <w:color w:val="0000FF"/>
                <w:sz w:val="24"/>
              </w:rPr>
              <w:t>表4</w:t>
            </w:r>
            <w:r>
              <w:rPr>
                <w:b/>
                <w:color w:val="0000FF"/>
                <w:sz w:val="24"/>
              </w:rPr>
              <w:t xml:space="preserve">.6-11  </w:t>
            </w:r>
            <w:r>
              <w:rPr>
                <w:rFonts w:hint="eastAsia"/>
                <w:b/>
                <w:color w:val="0000FF"/>
                <w:sz w:val="24"/>
              </w:rPr>
              <w:t>项目运营期颗粒物无组织排放情况一览表</w:t>
            </w:r>
          </w:p>
          <w:tbl>
            <w:tblPr>
              <w:tblStyle w:val="3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99"/>
              <w:gridCol w:w="1143"/>
              <w:gridCol w:w="2004"/>
              <w:gridCol w:w="2065"/>
              <w:gridCol w:w="1295"/>
              <w:gridCol w:w="9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94" w:type="pct"/>
                  <w:vAlign w:val="center"/>
                </w:tcPr>
                <w:p>
                  <w:pPr>
                    <w:jc w:val="center"/>
                    <w:rPr>
                      <w:b/>
                      <w:color w:val="0000FF"/>
                      <w:szCs w:val="21"/>
                    </w:rPr>
                  </w:pPr>
                  <w:r>
                    <w:rPr>
                      <w:rFonts w:hint="eastAsia"/>
                      <w:b/>
                      <w:color w:val="0000FF"/>
                      <w:szCs w:val="21"/>
                    </w:rPr>
                    <w:t>污染</w:t>
                  </w:r>
                </w:p>
                <w:p>
                  <w:pPr>
                    <w:jc w:val="center"/>
                    <w:rPr>
                      <w:b/>
                      <w:color w:val="0000FF"/>
                      <w:szCs w:val="21"/>
                    </w:rPr>
                  </w:pPr>
                  <w:r>
                    <w:rPr>
                      <w:rFonts w:hint="eastAsia"/>
                      <w:b/>
                      <w:color w:val="0000FF"/>
                      <w:szCs w:val="21"/>
                    </w:rPr>
                    <w:t>因子</w:t>
                  </w:r>
                </w:p>
              </w:tc>
              <w:tc>
                <w:tcPr>
                  <w:tcW w:w="651" w:type="pct"/>
                  <w:vAlign w:val="center"/>
                </w:tcPr>
                <w:p>
                  <w:pPr>
                    <w:jc w:val="center"/>
                    <w:rPr>
                      <w:b/>
                      <w:color w:val="0000FF"/>
                      <w:szCs w:val="21"/>
                    </w:rPr>
                  </w:pPr>
                  <w:r>
                    <w:rPr>
                      <w:rFonts w:hint="eastAsia"/>
                      <w:b/>
                      <w:color w:val="0000FF"/>
                      <w:szCs w:val="21"/>
                    </w:rPr>
                    <w:t>排放速率</w:t>
                  </w:r>
                </w:p>
              </w:tc>
              <w:tc>
                <w:tcPr>
                  <w:tcW w:w="1187" w:type="pct"/>
                  <w:vAlign w:val="center"/>
                </w:tcPr>
                <w:p>
                  <w:pPr>
                    <w:jc w:val="center"/>
                    <w:rPr>
                      <w:b/>
                      <w:color w:val="0000FF"/>
                      <w:szCs w:val="21"/>
                    </w:rPr>
                  </w:pPr>
                  <w:r>
                    <w:rPr>
                      <w:rFonts w:hint="eastAsia"/>
                      <w:b/>
                      <w:color w:val="0000FF"/>
                      <w:szCs w:val="21"/>
                    </w:rPr>
                    <w:t>下风向最大</w:t>
                  </w:r>
                </w:p>
                <w:p>
                  <w:pPr>
                    <w:jc w:val="center"/>
                    <w:rPr>
                      <w:b/>
                      <w:color w:val="0000FF"/>
                      <w:szCs w:val="21"/>
                    </w:rPr>
                  </w:pPr>
                  <w:r>
                    <w:rPr>
                      <w:rFonts w:hint="eastAsia"/>
                      <w:b/>
                      <w:color w:val="0000FF"/>
                      <w:szCs w:val="21"/>
                    </w:rPr>
                    <w:t>落地浓度</w:t>
                  </w:r>
                </w:p>
              </w:tc>
              <w:tc>
                <w:tcPr>
                  <w:tcW w:w="1223" w:type="pct"/>
                  <w:vAlign w:val="center"/>
                </w:tcPr>
                <w:p>
                  <w:pPr>
                    <w:jc w:val="center"/>
                    <w:rPr>
                      <w:b/>
                      <w:color w:val="0000FF"/>
                      <w:szCs w:val="21"/>
                    </w:rPr>
                  </w:pPr>
                  <w:r>
                    <w:rPr>
                      <w:rFonts w:hint="eastAsia"/>
                      <w:b/>
                      <w:color w:val="0000FF"/>
                      <w:szCs w:val="21"/>
                    </w:rPr>
                    <w:t>下风向最大</w:t>
                  </w:r>
                </w:p>
                <w:p>
                  <w:pPr>
                    <w:jc w:val="center"/>
                    <w:rPr>
                      <w:b/>
                      <w:color w:val="0000FF"/>
                      <w:szCs w:val="21"/>
                    </w:rPr>
                  </w:pPr>
                  <w:r>
                    <w:rPr>
                      <w:rFonts w:hint="eastAsia"/>
                      <w:b/>
                      <w:color w:val="0000FF"/>
                      <w:szCs w:val="21"/>
                    </w:rPr>
                    <w:t>落地浓度距离</w:t>
                  </w:r>
                </w:p>
              </w:tc>
              <w:tc>
                <w:tcPr>
                  <w:tcW w:w="769" w:type="pct"/>
                  <w:vAlign w:val="center"/>
                </w:tcPr>
                <w:p>
                  <w:pPr>
                    <w:jc w:val="center"/>
                    <w:rPr>
                      <w:b/>
                      <w:color w:val="0000FF"/>
                      <w:szCs w:val="21"/>
                    </w:rPr>
                  </w:pPr>
                  <w:r>
                    <w:rPr>
                      <w:rFonts w:hint="eastAsia"/>
                      <w:b/>
                      <w:color w:val="0000FF"/>
                      <w:szCs w:val="21"/>
                    </w:rPr>
                    <w:t>标准值</w:t>
                  </w:r>
                </w:p>
              </w:tc>
              <w:tc>
                <w:tcPr>
                  <w:tcW w:w="576" w:type="pct"/>
                  <w:vAlign w:val="center"/>
                </w:tcPr>
                <w:p>
                  <w:pPr>
                    <w:jc w:val="center"/>
                    <w:rPr>
                      <w:b/>
                      <w:color w:val="0000FF"/>
                      <w:szCs w:val="21"/>
                    </w:rPr>
                  </w:pPr>
                  <w:r>
                    <w:rPr>
                      <w:rFonts w:hint="eastAsia"/>
                      <w:b/>
                      <w:color w:val="0000FF"/>
                      <w:szCs w:val="21"/>
                    </w:rPr>
                    <w:t>是否</w:t>
                  </w:r>
                </w:p>
                <w:p>
                  <w:pPr>
                    <w:jc w:val="center"/>
                    <w:rPr>
                      <w:b/>
                      <w:color w:val="0000FF"/>
                      <w:szCs w:val="21"/>
                    </w:rPr>
                  </w:pPr>
                  <w:r>
                    <w:rPr>
                      <w:rFonts w:hint="eastAsia"/>
                      <w:b/>
                      <w:color w:val="0000FF"/>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94" w:type="pct"/>
                  <w:vAlign w:val="center"/>
                </w:tcPr>
                <w:p>
                  <w:pPr>
                    <w:jc w:val="center"/>
                    <w:rPr>
                      <w:color w:val="0000FF"/>
                      <w:szCs w:val="21"/>
                    </w:rPr>
                  </w:pPr>
                  <w:r>
                    <w:rPr>
                      <w:rFonts w:hint="eastAsia"/>
                      <w:color w:val="0000FF"/>
                      <w:szCs w:val="21"/>
                    </w:rPr>
                    <w:t>TSP</w:t>
                  </w:r>
                </w:p>
              </w:tc>
              <w:tc>
                <w:tcPr>
                  <w:tcW w:w="651" w:type="pct"/>
                  <w:vAlign w:val="center"/>
                </w:tcPr>
                <w:p>
                  <w:pPr>
                    <w:jc w:val="center"/>
                    <w:rPr>
                      <w:color w:val="0000FF"/>
                      <w:szCs w:val="21"/>
                    </w:rPr>
                  </w:pPr>
                  <w:r>
                    <w:rPr>
                      <w:color w:val="0000FF"/>
                      <w:szCs w:val="21"/>
                    </w:rPr>
                    <w:t>0.89</w:t>
                  </w:r>
                  <w:r>
                    <w:rPr>
                      <w:rFonts w:hint="eastAsia"/>
                      <w:color w:val="0000FF"/>
                      <w:szCs w:val="21"/>
                    </w:rPr>
                    <w:t>kg</w:t>
                  </w:r>
                  <w:r>
                    <w:rPr>
                      <w:color w:val="0000FF"/>
                      <w:szCs w:val="21"/>
                    </w:rPr>
                    <w:t>/</w:t>
                  </w:r>
                  <w:r>
                    <w:rPr>
                      <w:rFonts w:hint="eastAsia"/>
                      <w:color w:val="0000FF"/>
                      <w:szCs w:val="21"/>
                    </w:rPr>
                    <w:t>h</w:t>
                  </w:r>
                </w:p>
              </w:tc>
              <w:tc>
                <w:tcPr>
                  <w:tcW w:w="1187" w:type="pct"/>
                  <w:vAlign w:val="center"/>
                </w:tcPr>
                <w:p>
                  <w:pPr>
                    <w:jc w:val="center"/>
                    <w:rPr>
                      <w:color w:val="0000FF"/>
                      <w:szCs w:val="21"/>
                    </w:rPr>
                  </w:pPr>
                  <w:r>
                    <w:rPr>
                      <w:color w:val="0000FF"/>
                      <w:szCs w:val="21"/>
                    </w:rPr>
                    <w:t>0.149</w:t>
                  </w:r>
                  <w:r>
                    <w:rPr>
                      <w:rFonts w:hint="eastAsia"/>
                      <w:color w:val="0000FF"/>
                      <w:szCs w:val="21"/>
                    </w:rPr>
                    <w:t>mg</w:t>
                  </w:r>
                  <w:r>
                    <w:rPr>
                      <w:color w:val="0000FF"/>
                      <w:szCs w:val="21"/>
                    </w:rPr>
                    <w:t>/</w:t>
                  </w:r>
                  <w:r>
                    <w:rPr>
                      <w:rFonts w:hint="eastAsia"/>
                      <w:color w:val="0000FF"/>
                      <w:szCs w:val="21"/>
                    </w:rPr>
                    <w:t>m³</w:t>
                  </w:r>
                </w:p>
              </w:tc>
              <w:tc>
                <w:tcPr>
                  <w:tcW w:w="1223" w:type="pct"/>
                  <w:vAlign w:val="center"/>
                </w:tcPr>
                <w:p>
                  <w:pPr>
                    <w:jc w:val="center"/>
                    <w:rPr>
                      <w:color w:val="0000FF"/>
                      <w:szCs w:val="21"/>
                    </w:rPr>
                  </w:pPr>
                  <w:r>
                    <w:rPr>
                      <w:rFonts w:hint="eastAsia"/>
                      <w:color w:val="0000FF"/>
                      <w:szCs w:val="21"/>
                    </w:rPr>
                    <w:t>3</w:t>
                  </w:r>
                  <w:r>
                    <w:rPr>
                      <w:color w:val="0000FF"/>
                      <w:szCs w:val="21"/>
                    </w:rPr>
                    <w:t>3.0</w:t>
                  </w:r>
                  <w:r>
                    <w:rPr>
                      <w:rFonts w:hint="eastAsia"/>
                      <w:color w:val="0000FF"/>
                      <w:szCs w:val="21"/>
                    </w:rPr>
                    <w:t>m</w:t>
                  </w:r>
                </w:p>
              </w:tc>
              <w:tc>
                <w:tcPr>
                  <w:tcW w:w="769" w:type="pct"/>
                  <w:vAlign w:val="center"/>
                </w:tcPr>
                <w:p>
                  <w:pPr>
                    <w:jc w:val="center"/>
                    <w:rPr>
                      <w:color w:val="0000FF"/>
                      <w:szCs w:val="21"/>
                    </w:rPr>
                  </w:pPr>
                  <w:r>
                    <w:rPr>
                      <w:rFonts w:hint="eastAsia"/>
                      <w:color w:val="0000FF"/>
                      <w:szCs w:val="21"/>
                    </w:rPr>
                    <w:t>1</w:t>
                  </w:r>
                  <w:r>
                    <w:rPr>
                      <w:color w:val="0000FF"/>
                      <w:szCs w:val="21"/>
                    </w:rPr>
                    <w:t>.0</w:t>
                  </w:r>
                  <w:r>
                    <w:rPr>
                      <w:rFonts w:hint="eastAsia"/>
                      <w:color w:val="0000FF"/>
                      <w:szCs w:val="21"/>
                    </w:rPr>
                    <w:t xml:space="preserve"> mg</w:t>
                  </w:r>
                  <w:r>
                    <w:rPr>
                      <w:color w:val="0000FF"/>
                      <w:szCs w:val="21"/>
                    </w:rPr>
                    <w:t>/</w:t>
                  </w:r>
                  <w:r>
                    <w:rPr>
                      <w:rFonts w:hint="eastAsia"/>
                      <w:color w:val="0000FF"/>
                      <w:szCs w:val="21"/>
                    </w:rPr>
                    <w:t>m³</w:t>
                  </w:r>
                </w:p>
              </w:tc>
              <w:tc>
                <w:tcPr>
                  <w:tcW w:w="576" w:type="pct"/>
                  <w:vAlign w:val="center"/>
                </w:tcPr>
                <w:p>
                  <w:pPr>
                    <w:jc w:val="center"/>
                    <w:rPr>
                      <w:color w:val="0000FF"/>
                      <w:szCs w:val="21"/>
                    </w:rPr>
                  </w:pPr>
                  <w:r>
                    <w:rPr>
                      <w:rFonts w:hint="eastAsia"/>
                      <w:color w:val="0000FF"/>
                      <w:szCs w:val="21"/>
                    </w:rPr>
                    <w:t>达标</w:t>
                  </w:r>
                </w:p>
              </w:tc>
            </w:tr>
          </w:tbl>
          <w:p>
            <w:pPr>
              <w:spacing w:line="360" w:lineRule="auto"/>
              <w:ind w:firstLine="480" w:firstLineChars="200"/>
              <w:rPr>
                <w:color w:val="0000FF"/>
                <w:sz w:val="24"/>
              </w:rPr>
            </w:pPr>
            <w:r>
              <w:rPr>
                <w:rFonts w:hint="eastAsia"/>
                <w:color w:val="0000FF"/>
                <w:sz w:val="24"/>
              </w:rPr>
              <w:t>根据AERSCREEN模型预测结果，项目运营期颗粒物无组织排放下风向最大落地浓度出现位置距厂界3</w:t>
            </w:r>
            <w:r>
              <w:rPr>
                <w:color w:val="0000FF"/>
                <w:sz w:val="24"/>
              </w:rPr>
              <w:t>3.0</w:t>
            </w:r>
            <w:r>
              <w:rPr>
                <w:rFonts w:hint="eastAsia"/>
                <w:color w:val="0000FF"/>
                <w:sz w:val="24"/>
              </w:rPr>
              <w:t>m，下风向最大落地浓度为</w:t>
            </w:r>
            <w:r>
              <w:rPr>
                <w:color w:val="0000FF"/>
                <w:sz w:val="24"/>
              </w:rPr>
              <w:t>0.149</w:t>
            </w:r>
            <w:r>
              <w:rPr>
                <w:rFonts w:hint="eastAsia"/>
                <w:color w:val="0000FF"/>
                <w:sz w:val="24"/>
              </w:rPr>
              <w:t>mg</w:t>
            </w:r>
            <w:r>
              <w:rPr>
                <w:color w:val="0000FF"/>
                <w:sz w:val="24"/>
              </w:rPr>
              <w:t>/</w:t>
            </w:r>
            <w:r>
              <w:rPr>
                <w:rFonts w:hint="eastAsia"/>
                <w:color w:val="0000FF"/>
                <w:sz w:val="24"/>
              </w:rPr>
              <w:t>m³，满足《大气污染物排放标准》（GB</w:t>
            </w:r>
            <w:r>
              <w:rPr>
                <w:color w:val="0000FF"/>
                <w:sz w:val="24"/>
              </w:rPr>
              <w:t xml:space="preserve"> 16297-1996</w:t>
            </w:r>
            <w:r>
              <w:rPr>
                <w:rFonts w:hint="eastAsia"/>
                <w:color w:val="0000FF"/>
                <w:sz w:val="24"/>
              </w:rPr>
              <w:t>）中颗粒物无组织排放标准限值要求（≤1</w:t>
            </w:r>
            <w:r>
              <w:rPr>
                <w:color w:val="0000FF"/>
                <w:sz w:val="24"/>
              </w:rPr>
              <w:t>.0</w:t>
            </w:r>
            <w:r>
              <w:rPr>
                <w:rFonts w:hint="eastAsia"/>
                <w:color w:val="0000FF"/>
                <w:sz w:val="24"/>
              </w:rPr>
              <w:t>mg</w:t>
            </w:r>
            <w:r>
              <w:rPr>
                <w:color w:val="0000FF"/>
                <w:sz w:val="24"/>
              </w:rPr>
              <w:t>/</w:t>
            </w:r>
            <w:r>
              <w:rPr>
                <w:rFonts w:hint="eastAsia"/>
                <w:color w:val="0000FF"/>
                <w:sz w:val="24"/>
              </w:rPr>
              <w:t>m³），由此推断，项目运营期厂界颗粒物无组织排放可满足大气污染物排放标准》（GB</w:t>
            </w:r>
            <w:r>
              <w:rPr>
                <w:color w:val="0000FF"/>
                <w:sz w:val="24"/>
              </w:rPr>
              <w:t xml:space="preserve"> 16297-1996</w:t>
            </w:r>
            <w:r>
              <w:rPr>
                <w:rFonts w:hint="eastAsia"/>
                <w:color w:val="0000FF"/>
                <w:sz w:val="24"/>
              </w:rPr>
              <w:t>）相关标准要求。</w:t>
            </w:r>
          </w:p>
          <w:p>
            <w:pPr>
              <w:spacing w:line="360" w:lineRule="auto"/>
              <w:ind w:firstLine="481" w:firstLineChars="200"/>
              <w:rPr>
                <w:b/>
                <w:sz w:val="24"/>
              </w:rPr>
            </w:pPr>
            <w:r>
              <w:rPr>
                <w:rFonts w:hint="eastAsia"/>
                <w:b/>
                <w:sz w:val="24"/>
              </w:rPr>
              <w:t>（2）机械尾气排放达标情况</w:t>
            </w:r>
          </w:p>
          <w:p>
            <w:pPr>
              <w:spacing w:line="360" w:lineRule="auto"/>
              <w:ind w:firstLine="480" w:firstLineChars="200"/>
              <w:rPr>
                <w:sz w:val="24"/>
              </w:rPr>
            </w:pPr>
            <w:r>
              <w:rPr>
                <w:rFonts w:hint="eastAsia"/>
                <w:sz w:val="24"/>
              </w:rPr>
              <w:t>项目运营期燃油机械设备使用汽油、柴油等作为能源，其燃烧产生的废气对环境空气会造成一定的影响，主要成分为CO、NOx和总碳氢化合物（THC）。机械尾气属低架点源无组织排放性质，具有间断性产生、产生量较小、产生点相对分散、随设备移动呈不固定式排放、易被稀释扩散等特点。只要确保运营期使用符合规范的机械设备、车辆及燃油，按照规范操作，加强维修。考虑区域大气扩散条件相对较好，一般情况下，设备运输机械废气经过大气自然扩散和稀释后，对评价区域环境空气影响较小。</w:t>
            </w:r>
          </w:p>
          <w:p>
            <w:pPr>
              <w:spacing w:line="360" w:lineRule="auto"/>
              <w:ind w:firstLine="481" w:firstLineChars="200"/>
              <w:rPr>
                <w:b/>
                <w:sz w:val="24"/>
              </w:rPr>
            </w:pPr>
            <w:r>
              <w:rPr>
                <w:rFonts w:hint="eastAsia"/>
                <w:b/>
                <w:sz w:val="24"/>
              </w:rPr>
              <w:t>（3）油烟废气排放达标情况</w:t>
            </w:r>
          </w:p>
          <w:p>
            <w:pPr>
              <w:spacing w:line="360" w:lineRule="auto"/>
              <w:ind w:firstLine="480" w:firstLineChars="200"/>
              <w:rPr>
                <w:sz w:val="24"/>
              </w:rPr>
            </w:pPr>
            <w:bookmarkStart w:id="52" w:name="_Hlk145077721"/>
            <w:r>
              <w:rPr>
                <w:rFonts w:hint="eastAsia"/>
                <w:sz w:val="24"/>
              </w:rPr>
              <w:t>项目运营期油烟产生量较小，其经抽油烟机抽排至外环境。本项目选址位于农村地区，区域地势开阔，植被茂盛，油烟废气经稀释扩散后对区域环境空气质量基本不会造成影响。</w:t>
            </w:r>
          </w:p>
          <w:bookmarkEnd w:id="51"/>
          <w:bookmarkEnd w:id="52"/>
          <w:p>
            <w:pPr>
              <w:spacing w:line="360" w:lineRule="auto"/>
              <w:rPr>
                <w:color w:val="0000FF"/>
                <w:sz w:val="28"/>
                <w:szCs w:val="28"/>
              </w:rPr>
            </w:pPr>
            <w:r>
              <w:rPr>
                <w:b/>
                <w:bCs/>
                <w:color w:val="0000FF"/>
                <w:sz w:val="28"/>
                <w:szCs w:val="28"/>
              </w:rPr>
              <w:t>5</w:t>
            </w:r>
            <w:r>
              <w:rPr>
                <w:rFonts w:hint="eastAsia"/>
                <w:b/>
                <w:bCs/>
                <w:color w:val="0000FF"/>
                <w:sz w:val="28"/>
                <w:szCs w:val="28"/>
              </w:rPr>
              <w:t>、环境监测计划</w:t>
            </w:r>
          </w:p>
          <w:p>
            <w:pPr>
              <w:pStyle w:val="41"/>
              <w:spacing w:line="360" w:lineRule="auto"/>
              <w:ind w:firstLine="480" w:firstLineChars="200"/>
              <w:rPr>
                <w:rFonts w:ascii="Times New Roman" w:hAnsi="Times New Roman" w:cs="Times New Roman"/>
                <w:color w:val="0000FF"/>
              </w:rPr>
            </w:pPr>
            <w:r>
              <w:rPr>
                <w:rFonts w:hint="eastAsia" w:ascii="Times New Roman" w:hAnsi="Times New Roman" w:cs="Times New Roman"/>
                <w:color w:val="0000FF"/>
              </w:rPr>
              <w:t>根据《排污单位自行监测技术指南 总则》（HJ819-2017）、《排污单位自行监测技术指南 砖瓦工业》（HJ 1254-2022），项目运营期废气排放监测计划详见下表：</w:t>
            </w:r>
          </w:p>
          <w:p>
            <w:pPr>
              <w:pStyle w:val="41"/>
              <w:ind w:firstLine="481" w:firstLineChars="200"/>
              <w:jc w:val="center"/>
              <w:rPr>
                <w:rFonts w:ascii="Times New Roman" w:hAnsi="Times New Roman" w:cs="Times New Roman"/>
                <w:b/>
                <w:bCs/>
                <w:color w:val="0000FF"/>
              </w:rPr>
            </w:pPr>
            <w:r>
              <w:rPr>
                <w:rFonts w:hint="eastAsia" w:ascii="Times New Roman" w:hAnsi="Times New Roman" w:cs="Times New Roman"/>
                <w:b/>
                <w:bCs/>
                <w:color w:val="0000FF"/>
              </w:rPr>
              <w:t>表</w:t>
            </w:r>
            <w:r>
              <w:rPr>
                <w:rFonts w:ascii="Times New Roman" w:hAnsi="Times New Roman" w:cs="Times New Roman"/>
                <w:b/>
                <w:bCs/>
                <w:color w:val="0000FF"/>
              </w:rPr>
              <w:t xml:space="preserve">4.6-12  </w:t>
            </w:r>
            <w:r>
              <w:rPr>
                <w:rFonts w:hint="eastAsia" w:ascii="Times New Roman" w:hAnsi="Times New Roman" w:cs="Times New Roman"/>
                <w:b/>
                <w:bCs/>
                <w:color w:val="0000FF"/>
              </w:rPr>
              <w:t>运行期厂界大气污染物无组织排放监测计划一览表</w:t>
            </w:r>
          </w:p>
          <w:tbl>
            <w:tblPr>
              <w:tblStyle w:val="3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32"/>
              <w:gridCol w:w="1178"/>
              <w:gridCol w:w="2944"/>
              <w:gridCol w:w="1471"/>
              <w:gridCol w:w="12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963" w:type="pct"/>
                  <w:vMerge w:val="restart"/>
                  <w:vAlign w:val="center"/>
                </w:tcPr>
                <w:p>
                  <w:pPr>
                    <w:adjustRightInd w:val="0"/>
                    <w:snapToGrid w:val="0"/>
                    <w:jc w:val="center"/>
                    <w:rPr>
                      <w:b/>
                      <w:bCs/>
                      <w:color w:val="0000FF"/>
                      <w:szCs w:val="21"/>
                    </w:rPr>
                  </w:pPr>
                  <w:r>
                    <w:rPr>
                      <w:b/>
                      <w:bCs/>
                      <w:color w:val="0000FF"/>
                      <w:szCs w:val="21"/>
                    </w:rPr>
                    <w:t>监测点名称</w:t>
                  </w:r>
                </w:p>
              </w:tc>
              <w:tc>
                <w:tcPr>
                  <w:tcW w:w="695" w:type="pct"/>
                  <w:vMerge w:val="restart"/>
                  <w:vAlign w:val="center"/>
                </w:tcPr>
                <w:p>
                  <w:pPr>
                    <w:adjustRightInd w:val="0"/>
                    <w:snapToGrid w:val="0"/>
                    <w:jc w:val="center"/>
                    <w:rPr>
                      <w:b/>
                      <w:bCs/>
                      <w:color w:val="0000FF"/>
                      <w:szCs w:val="21"/>
                    </w:rPr>
                  </w:pPr>
                  <w:r>
                    <w:rPr>
                      <w:b/>
                      <w:bCs/>
                      <w:color w:val="0000FF"/>
                      <w:szCs w:val="21"/>
                    </w:rPr>
                    <w:t>监测因子</w:t>
                  </w:r>
                </w:p>
              </w:tc>
              <w:tc>
                <w:tcPr>
                  <w:tcW w:w="1737" w:type="pct"/>
                  <w:vMerge w:val="restart"/>
                  <w:vAlign w:val="center"/>
                </w:tcPr>
                <w:p>
                  <w:pPr>
                    <w:adjustRightInd w:val="0"/>
                    <w:snapToGrid w:val="0"/>
                    <w:jc w:val="center"/>
                    <w:rPr>
                      <w:b/>
                      <w:bCs/>
                      <w:color w:val="0000FF"/>
                      <w:szCs w:val="21"/>
                    </w:rPr>
                  </w:pPr>
                  <w:r>
                    <w:rPr>
                      <w:b/>
                      <w:bCs/>
                      <w:color w:val="0000FF"/>
                      <w:szCs w:val="21"/>
                    </w:rPr>
                    <w:t>监测点位</w:t>
                  </w:r>
                </w:p>
              </w:tc>
              <w:tc>
                <w:tcPr>
                  <w:tcW w:w="1605" w:type="pct"/>
                  <w:gridSpan w:val="2"/>
                  <w:vAlign w:val="center"/>
                </w:tcPr>
                <w:p>
                  <w:pPr>
                    <w:adjustRightInd w:val="0"/>
                    <w:snapToGrid w:val="0"/>
                    <w:jc w:val="center"/>
                    <w:rPr>
                      <w:b/>
                      <w:bCs/>
                      <w:color w:val="0000FF"/>
                      <w:szCs w:val="21"/>
                    </w:rPr>
                  </w:pPr>
                  <w:r>
                    <w:rPr>
                      <w:b/>
                      <w:bCs/>
                      <w:color w:val="0000FF"/>
                      <w:szCs w:val="21"/>
                    </w:rPr>
                    <w:t>监测频次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963" w:type="pct"/>
                  <w:vMerge w:val="continue"/>
                  <w:vAlign w:val="center"/>
                </w:tcPr>
                <w:p>
                  <w:pPr>
                    <w:adjustRightInd w:val="0"/>
                    <w:snapToGrid w:val="0"/>
                    <w:jc w:val="center"/>
                    <w:rPr>
                      <w:b/>
                      <w:bCs/>
                      <w:color w:val="0000FF"/>
                      <w:szCs w:val="21"/>
                    </w:rPr>
                  </w:pPr>
                </w:p>
              </w:tc>
              <w:tc>
                <w:tcPr>
                  <w:tcW w:w="695" w:type="pct"/>
                  <w:vMerge w:val="continue"/>
                  <w:vAlign w:val="center"/>
                </w:tcPr>
                <w:p>
                  <w:pPr>
                    <w:adjustRightInd w:val="0"/>
                    <w:snapToGrid w:val="0"/>
                    <w:jc w:val="center"/>
                    <w:rPr>
                      <w:b/>
                      <w:bCs/>
                      <w:color w:val="0000FF"/>
                      <w:szCs w:val="21"/>
                    </w:rPr>
                  </w:pPr>
                </w:p>
              </w:tc>
              <w:tc>
                <w:tcPr>
                  <w:tcW w:w="1737" w:type="pct"/>
                  <w:vMerge w:val="continue"/>
                  <w:vAlign w:val="center"/>
                </w:tcPr>
                <w:p>
                  <w:pPr>
                    <w:adjustRightInd w:val="0"/>
                    <w:snapToGrid w:val="0"/>
                    <w:jc w:val="center"/>
                    <w:rPr>
                      <w:b/>
                      <w:bCs/>
                      <w:color w:val="0000FF"/>
                      <w:szCs w:val="21"/>
                    </w:rPr>
                  </w:pPr>
                </w:p>
              </w:tc>
              <w:tc>
                <w:tcPr>
                  <w:tcW w:w="868" w:type="pct"/>
                  <w:vAlign w:val="center"/>
                </w:tcPr>
                <w:p>
                  <w:pPr>
                    <w:adjustRightInd w:val="0"/>
                    <w:snapToGrid w:val="0"/>
                    <w:jc w:val="center"/>
                    <w:rPr>
                      <w:b/>
                      <w:bCs/>
                      <w:color w:val="0000FF"/>
                      <w:szCs w:val="21"/>
                    </w:rPr>
                  </w:pPr>
                  <w:r>
                    <w:rPr>
                      <w:b/>
                      <w:bCs/>
                      <w:color w:val="0000FF"/>
                      <w:szCs w:val="21"/>
                    </w:rPr>
                    <w:t>指南要求</w:t>
                  </w:r>
                </w:p>
              </w:tc>
              <w:tc>
                <w:tcPr>
                  <w:tcW w:w="737" w:type="pct"/>
                  <w:vAlign w:val="center"/>
                </w:tcPr>
                <w:p>
                  <w:pPr>
                    <w:adjustRightInd w:val="0"/>
                    <w:snapToGrid w:val="0"/>
                    <w:jc w:val="center"/>
                    <w:rPr>
                      <w:b/>
                      <w:bCs/>
                      <w:color w:val="0000FF"/>
                      <w:szCs w:val="21"/>
                    </w:rPr>
                  </w:pPr>
                  <w:r>
                    <w:rPr>
                      <w:rFonts w:hint="eastAsia"/>
                      <w:b/>
                      <w:bCs/>
                      <w:color w:val="0000FF"/>
                      <w:szCs w:val="21"/>
                    </w:rPr>
                    <w:t>项目计划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963" w:type="pct"/>
                  <w:vAlign w:val="center"/>
                </w:tcPr>
                <w:p>
                  <w:pPr>
                    <w:adjustRightInd w:val="0"/>
                    <w:snapToGrid w:val="0"/>
                    <w:jc w:val="center"/>
                    <w:rPr>
                      <w:color w:val="0000FF"/>
                      <w:szCs w:val="21"/>
                    </w:rPr>
                  </w:pPr>
                  <w:r>
                    <w:rPr>
                      <w:rFonts w:hint="eastAsia"/>
                      <w:color w:val="0000FF"/>
                      <w:szCs w:val="21"/>
                    </w:rPr>
                    <w:t>排气筒DA</w:t>
                  </w:r>
                  <w:r>
                    <w:rPr>
                      <w:color w:val="0000FF"/>
                      <w:szCs w:val="21"/>
                    </w:rPr>
                    <w:t>001</w:t>
                  </w:r>
                </w:p>
              </w:tc>
              <w:tc>
                <w:tcPr>
                  <w:tcW w:w="695" w:type="pct"/>
                  <w:vMerge w:val="restart"/>
                  <w:vAlign w:val="center"/>
                </w:tcPr>
                <w:p>
                  <w:pPr>
                    <w:adjustRightInd w:val="0"/>
                    <w:snapToGrid w:val="0"/>
                    <w:jc w:val="center"/>
                    <w:rPr>
                      <w:color w:val="0000FF"/>
                      <w:szCs w:val="21"/>
                    </w:rPr>
                  </w:pPr>
                  <w:r>
                    <w:rPr>
                      <w:rFonts w:hint="eastAsia"/>
                      <w:color w:val="0000FF"/>
                      <w:szCs w:val="21"/>
                    </w:rPr>
                    <w:t>颗粒物</w:t>
                  </w:r>
                </w:p>
              </w:tc>
              <w:tc>
                <w:tcPr>
                  <w:tcW w:w="1737" w:type="pct"/>
                  <w:vAlign w:val="center"/>
                </w:tcPr>
                <w:p>
                  <w:pPr>
                    <w:adjustRightInd w:val="0"/>
                    <w:snapToGrid w:val="0"/>
                    <w:jc w:val="center"/>
                    <w:rPr>
                      <w:color w:val="0000FF"/>
                      <w:szCs w:val="21"/>
                    </w:rPr>
                  </w:pPr>
                  <w:r>
                    <w:rPr>
                      <w:rFonts w:hint="eastAsia"/>
                      <w:color w:val="0000FF"/>
                      <w:szCs w:val="21"/>
                    </w:rPr>
                    <w:t>监测口</w:t>
                  </w:r>
                </w:p>
              </w:tc>
              <w:tc>
                <w:tcPr>
                  <w:tcW w:w="868" w:type="pct"/>
                  <w:vAlign w:val="center"/>
                </w:tcPr>
                <w:p>
                  <w:pPr>
                    <w:adjustRightInd w:val="0"/>
                    <w:snapToGrid w:val="0"/>
                    <w:jc w:val="center"/>
                    <w:rPr>
                      <w:color w:val="0000FF"/>
                      <w:szCs w:val="21"/>
                    </w:rPr>
                  </w:pPr>
                  <w:r>
                    <w:rPr>
                      <w:rFonts w:hint="eastAsia"/>
                      <w:color w:val="0000FF"/>
                      <w:szCs w:val="21"/>
                    </w:rPr>
                    <w:t>1次/半年</w:t>
                  </w:r>
                </w:p>
              </w:tc>
              <w:tc>
                <w:tcPr>
                  <w:tcW w:w="737" w:type="pct"/>
                  <w:vAlign w:val="center"/>
                </w:tcPr>
                <w:p>
                  <w:pPr>
                    <w:adjustRightInd w:val="0"/>
                    <w:snapToGrid w:val="0"/>
                    <w:jc w:val="center"/>
                    <w:rPr>
                      <w:color w:val="0000FF"/>
                      <w:szCs w:val="21"/>
                    </w:rPr>
                  </w:pPr>
                  <w:r>
                    <w:rPr>
                      <w:rFonts w:hint="eastAsia"/>
                      <w:color w:val="0000FF"/>
                      <w:szCs w:val="21"/>
                    </w:rPr>
                    <w:t>1次/半年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963" w:type="pct"/>
                  <w:vAlign w:val="center"/>
                </w:tcPr>
                <w:p>
                  <w:pPr>
                    <w:adjustRightInd w:val="0"/>
                    <w:snapToGrid w:val="0"/>
                    <w:jc w:val="center"/>
                    <w:rPr>
                      <w:color w:val="0000FF"/>
                      <w:szCs w:val="21"/>
                    </w:rPr>
                  </w:pPr>
                  <w:r>
                    <w:rPr>
                      <w:rFonts w:hint="eastAsia"/>
                      <w:color w:val="0000FF"/>
                      <w:szCs w:val="21"/>
                    </w:rPr>
                    <w:t>厂界外1m处</w:t>
                  </w:r>
                </w:p>
              </w:tc>
              <w:tc>
                <w:tcPr>
                  <w:tcW w:w="695" w:type="pct"/>
                  <w:vMerge w:val="continue"/>
                  <w:vAlign w:val="center"/>
                </w:tcPr>
                <w:p>
                  <w:pPr>
                    <w:adjustRightInd w:val="0"/>
                    <w:snapToGrid w:val="0"/>
                    <w:jc w:val="center"/>
                    <w:rPr>
                      <w:color w:val="0000FF"/>
                      <w:szCs w:val="21"/>
                    </w:rPr>
                  </w:pPr>
                </w:p>
              </w:tc>
              <w:tc>
                <w:tcPr>
                  <w:tcW w:w="1737" w:type="pct"/>
                  <w:vAlign w:val="center"/>
                </w:tcPr>
                <w:p>
                  <w:pPr>
                    <w:adjustRightInd w:val="0"/>
                    <w:snapToGrid w:val="0"/>
                    <w:jc w:val="center"/>
                    <w:rPr>
                      <w:color w:val="0000FF"/>
                      <w:szCs w:val="21"/>
                    </w:rPr>
                  </w:pPr>
                  <w:r>
                    <w:rPr>
                      <w:rFonts w:hint="eastAsia"/>
                      <w:color w:val="0000FF"/>
                      <w:szCs w:val="21"/>
                    </w:rPr>
                    <w:t>上风向1个监测点，下风向3个监测点</w:t>
                  </w:r>
                </w:p>
              </w:tc>
              <w:tc>
                <w:tcPr>
                  <w:tcW w:w="868" w:type="pct"/>
                  <w:vAlign w:val="center"/>
                </w:tcPr>
                <w:p>
                  <w:pPr>
                    <w:adjustRightInd w:val="0"/>
                    <w:snapToGrid w:val="0"/>
                    <w:jc w:val="center"/>
                    <w:rPr>
                      <w:color w:val="0000FF"/>
                      <w:szCs w:val="21"/>
                    </w:rPr>
                  </w:pPr>
                  <w:r>
                    <w:rPr>
                      <w:rFonts w:hint="eastAsia"/>
                      <w:color w:val="0000FF"/>
                      <w:szCs w:val="21"/>
                    </w:rPr>
                    <w:t>1次/年</w:t>
                  </w:r>
                </w:p>
              </w:tc>
              <w:tc>
                <w:tcPr>
                  <w:tcW w:w="737" w:type="pct"/>
                  <w:vAlign w:val="center"/>
                </w:tcPr>
                <w:p>
                  <w:pPr>
                    <w:adjustRightInd w:val="0"/>
                    <w:snapToGrid w:val="0"/>
                    <w:jc w:val="center"/>
                    <w:rPr>
                      <w:color w:val="0000FF"/>
                      <w:szCs w:val="21"/>
                    </w:rPr>
                  </w:pPr>
                  <w:r>
                    <w:rPr>
                      <w:rFonts w:hint="eastAsia"/>
                      <w:color w:val="0000FF"/>
                      <w:szCs w:val="21"/>
                    </w:rPr>
                    <w:t>1次/年</w:t>
                  </w:r>
                </w:p>
              </w:tc>
            </w:tr>
          </w:tbl>
          <w:p>
            <w:pPr>
              <w:spacing w:line="360" w:lineRule="auto"/>
              <w:rPr>
                <w:b/>
                <w:sz w:val="24"/>
              </w:rPr>
            </w:pPr>
            <w:r>
              <w:rPr>
                <w:b/>
                <w:sz w:val="24"/>
              </w:rPr>
              <w:t>6</w:t>
            </w:r>
            <w:r>
              <w:rPr>
                <w:rFonts w:hint="eastAsia"/>
                <w:b/>
                <w:sz w:val="24"/>
              </w:rPr>
              <w:t>、大气环境影响结论</w:t>
            </w:r>
          </w:p>
          <w:p>
            <w:pPr>
              <w:spacing w:line="360" w:lineRule="auto"/>
              <w:ind w:firstLine="480" w:firstLineChars="200"/>
              <w:rPr>
                <w:color w:val="0000FF"/>
                <w:sz w:val="24"/>
              </w:rPr>
            </w:pPr>
            <w:r>
              <w:rPr>
                <w:rFonts w:hint="eastAsia"/>
                <w:color w:val="0000FF"/>
                <w:sz w:val="24"/>
              </w:rPr>
              <w:t>项目运营期破碎、筛分粉尘经布袋除尘器收集处理后通过1</w:t>
            </w:r>
            <w:r>
              <w:rPr>
                <w:color w:val="0000FF"/>
                <w:sz w:val="24"/>
              </w:rPr>
              <w:t>5</w:t>
            </w:r>
            <w:r>
              <w:rPr>
                <w:rFonts w:hint="eastAsia"/>
                <w:color w:val="0000FF"/>
                <w:sz w:val="24"/>
              </w:rPr>
              <w:t>m高排气筒DA</w:t>
            </w:r>
            <w:r>
              <w:rPr>
                <w:color w:val="0000FF"/>
                <w:sz w:val="24"/>
              </w:rPr>
              <w:t>001</w:t>
            </w:r>
            <w:r>
              <w:rPr>
                <w:rFonts w:hint="eastAsia"/>
                <w:color w:val="0000FF"/>
                <w:sz w:val="24"/>
              </w:rPr>
              <w:t>有组织排放可达《大气污染物综合排放标准》（GB 16297-1996）表2中15m高排气筒二级限值要求，可做到达标排放。根据AERSCREEN模型预测结果，项目运营期颗粒物无组织排放下风向最大落地浓度出现位置距厂界3</w:t>
            </w:r>
            <w:r>
              <w:rPr>
                <w:color w:val="0000FF"/>
                <w:sz w:val="24"/>
              </w:rPr>
              <w:t>3.0</w:t>
            </w:r>
            <w:r>
              <w:rPr>
                <w:rFonts w:hint="eastAsia"/>
                <w:color w:val="0000FF"/>
                <w:sz w:val="24"/>
              </w:rPr>
              <w:t>m，下风向最大落地浓度为</w:t>
            </w:r>
            <w:r>
              <w:rPr>
                <w:color w:val="0000FF"/>
                <w:sz w:val="24"/>
              </w:rPr>
              <w:t>0.149</w:t>
            </w:r>
            <w:r>
              <w:rPr>
                <w:rFonts w:hint="eastAsia"/>
                <w:color w:val="0000FF"/>
                <w:sz w:val="24"/>
              </w:rPr>
              <w:t>mg</w:t>
            </w:r>
            <w:r>
              <w:rPr>
                <w:color w:val="0000FF"/>
                <w:sz w:val="24"/>
              </w:rPr>
              <w:t>/</w:t>
            </w:r>
            <w:r>
              <w:rPr>
                <w:rFonts w:hint="eastAsia"/>
                <w:color w:val="0000FF"/>
                <w:sz w:val="24"/>
              </w:rPr>
              <w:t>m³，满足《大气污染物排放标准》（GB</w:t>
            </w:r>
            <w:r>
              <w:rPr>
                <w:color w:val="0000FF"/>
                <w:sz w:val="24"/>
              </w:rPr>
              <w:t xml:space="preserve"> 16297-1996</w:t>
            </w:r>
            <w:r>
              <w:rPr>
                <w:rFonts w:hint="eastAsia"/>
                <w:color w:val="0000FF"/>
                <w:sz w:val="24"/>
              </w:rPr>
              <w:t>）中颗粒物无组织排放标准限值要求（≤1</w:t>
            </w:r>
            <w:r>
              <w:rPr>
                <w:color w:val="0000FF"/>
                <w:sz w:val="24"/>
              </w:rPr>
              <w:t>.0</w:t>
            </w:r>
            <w:r>
              <w:rPr>
                <w:rFonts w:hint="eastAsia"/>
                <w:color w:val="0000FF"/>
                <w:sz w:val="24"/>
              </w:rPr>
              <w:t>mg</w:t>
            </w:r>
            <w:r>
              <w:rPr>
                <w:color w:val="0000FF"/>
                <w:sz w:val="24"/>
              </w:rPr>
              <w:t>/</w:t>
            </w:r>
            <w:r>
              <w:rPr>
                <w:rFonts w:hint="eastAsia"/>
                <w:color w:val="0000FF"/>
                <w:sz w:val="24"/>
              </w:rPr>
              <w:t>m³），由此推断，项目运营期厂界颗粒物无组织排放可满足大气污染物排放标准》（GB</w:t>
            </w:r>
            <w:r>
              <w:rPr>
                <w:color w:val="0000FF"/>
                <w:sz w:val="24"/>
              </w:rPr>
              <w:t xml:space="preserve"> 16297-1996</w:t>
            </w:r>
            <w:r>
              <w:rPr>
                <w:rFonts w:hint="eastAsia"/>
                <w:color w:val="0000FF"/>
                <w:sz w:val="24"/>
              </w:rPr>
              <w:t>）相关标准要求。</w:t>
            </w:r>
          </w:p>
          <w:p>
            <w:pPr>
              <w:pStyle w:val="41"/>
              <w:spacing w:line="360" w:lineRule="auto"/>
              <w:ind w:firstLine="480" w:firstLineChars="200"/>
              <w:rPr>
                <w:rFonts w:ascii="Times New Roman" w:hAnsi="Times New Roman" w:cs="Times New Roman"/>
                <w:color w:val="0000FF"/>
              </w:rPr>
            </w:pPr>
            <w:r>
              <w:rPr>
                <w:rFonts w:hint="eastAsia" w:ascii="Times New Roman" w:hAnsi="Times New Roman" w:cs="Times New Roman"/>
                <w:color w:val="0000FF"/>
              </w:rPr>
              <w:t>项目厂址下风向最近大气环境保护目标距项目厂界约2</w:t>
            </w:r>
            <w:r>
              <w:rPr>
                <w:rFonts w:ascii="Times New Roman" w:hAnsi="Times New Roman" w:cs="Times New Roman"/>
                <w:color w:val="0000FF"/>
              </w:rPr>
              <w:t>40</w:t>
            </w:r>
            <w:r>
              <w:rPr>
                <w:rFonts w:hint="eastAsia" w:ascii="Times New Roman" w:hAnsi="Times New Roman" w:cs="Times New Roman"/>
                <w:color w:val="0000FF"/>
              </w:rPr>
              <w:t>m，本项目颗粒物无组织排放最大落地浓度出现在下风向距厂址3</w:t>
            </w:r>
            <w:r>
              <w:rPr>
                <w:rFonts w:ascii="Times New Roman" w:hAnsi="Times New Roman" w:cs="Times New Roman"/>
                <w:color w:val="0000FF"/>
              </w:rPr>
              <w:t>3.0</w:t>
            </w:r>
            <w:r>
              <w:rPr>
                <w:rFonts w:hint="eastAsia" w:ascii="Times New Roman" w:hAnsi="Times New Roman" w:cs="Times New Roman"/>
                <w:color w:val="0000FF"/>
              </w:rPr>
              <w:t>m处，该处无大气环境保护目标分布，由于项目运营期厂界颗粒物可做到无组织达标排放，对评价范围内大气环境保护目标影响不大。</w:t>
            </w:r>
          </w:p>
          <w:p>
            <w:pPr>
              <w:spacing w:line="360" w:lineRule="auto"/>
              <w:ind w:firstLine="480" w:firstLineChars="200"/>
              <w:rPr>
                <w:color w:val="0000FF"/>
                <w:sz w:val="24"/>
              </w:rPr>
            </w:pPr>
            <w:r>
              <w:rPr>
                <w:rFonts w:hint="eastAsia"/>
                <w:color w:val="0000FF"/>
                <w:sz w:val="24"/>
              </w:rPr>
              <w:t>考虑区域大气扩散条件相对较好，一般情况下，设备运输机械废气、厨房油烟经过大气自然扩散和稀释后，不会在同一区域累积，对评价区域环境空气基本无影响。</w:t>
            </w:r>
          </w:p>
          <w:p>
            <w:pPr>
              <w:pBdr>
                <w:top w:val="none" w:color="auto" w:sz="0" w:space="1"/>
                <w:left w:val="none" w:color="auto" w:sz="0" w:space="4"/>
                <w:bottom w:val="none" w:color="auto" w:sz="0" w:space="1"/>
                <w:right w:val="none" w:color="auto" w:sz="0" w:space="4"/>
              </w:pBdr>
              <w:spacing w:line="360" w:lineRule="auto"/>
              <w:rPr>
                <w:rFonts w:ascii="黑体" w:hAnsi="黑体" w:eastAsia="黑体"/>
                <w:b/>
                <w:bCs/>
                <w:kern w:val="0"/>
                <w:sz w:val="24"/>
              </w:rPr>
            </w:pPr>
            <w:r>
              <w:rPr>
                <w:rFonts w:hint="eastAsia" w:ascii="黑体" w:hAnsi="黑体" w:eastAsia="黑体"/>
                <w:b/>
                <w:bCs/>
                <w:kern w:val="0"/>
                <w:sz w:val="24"/>
              </w:rPr>
              <w:t>（七）运营期</w:t>
            </w:r>
            <w:r>
              <w:rPr>
                <w:rFonts w:ascii="黑体" w:hAnsi="黑体" w:eastAsia="黑体"/>
                <w:b/>
                <w:bCs/>
                <w:kern w:val="0"/>
                <w:sz w:val="24"/>
              </w:rPr>
              <w:t>地表水环境影响和保护措施</w:t>
            </w:r>
          </w:p>
          <w:p>
            <w:pPr>
              <w:pStyle w:val="24"/>
              <w:spacing w:line="360" w:lineRule="auto"/>
              <w:rPr>
                <w:b/>
                <w:bCs/>
                <w:sz w:val="24"/>
              </w:rPr>
            </w:pPr>
            <w:r>
              <w:rPr>
                <w:rFonts w:hint="eastAsia"/>
                <w:b/>
                <w:bCs/>
                <w:sz w:val="24"/>
              </w:rPr>
              <w:t>1、水污染物</w:t>
            </w:r>
            <w:r>
              <w:rPr>
                <w:b/>
                <w:bCs/>
                <w:sz w:val="24"/>
              </w:rPr>
              <w:t>源强核算</w:t>
            </w:r>
          </w:p>
          <w:p>
            <w:pPr>
              <w:pStyle w:val="24"/>
              <w:pBdr>
                <w:top w:val="none" w:color="auto" w:sz="0" w:space="0"/>
                <w:left w:val="none" w:color="auto" w:sz="0" w:space="0"/>
                <w:bottom w:val="none" w:color="auto" w:sz="0" w:space="0"/>
                <w:right w:val="none" w:color="auto" w:sz="0" w:space="0"/>
              </w:pBdr>
              <w:spacing w:line="360" w:lineRule="auto"/>
              <w:ind w:firstLine="481" w:firstLineChars="200"/>
              <w:rPr>
                <w:b/>
                <w:sz w:val="24"/>
              </w:rPr>
            </w:pPr>
            <w:bookmarkStart w:id="53" w:name="_Hlk139561078"/>
            <w:r>
              <w:rPr>
                <w:rFonts w:hint="eastAsia"/>
                <w:b/>
                <w:sz w:val="24"/>
              </w:rPr>
              <w:t>（1）生活污水源强核算</w:t>
            </w:r>
          </w:p>
          <w:p>
            <w:pPr>
              <w:pStyle w:val="24"/>
              <w:pBdr>
                <w:top w:val="none" w:color="auto" w:sz="0" w:space="0"/>
                <w:left w:val="none" w:color="auto" w:sz="0" w:space="0"/>
                <w:bottom w:val="none" w:color="auto" w:sz="0" w:space="0"/>
                <w:right w:val="none" w:color="auto" w:sz="0" w:space="0"/>
              </w:pBdr>
              <w:spacing w:line="360" w:lineRule="auto"/>
              <w:ind w:firstLine="480" w:firstLineChars="200"/>
              <w:rPr>
                <w:color w:val="0000FF"/>
                <w:sz w:val="24"/>
              </w:rPr>
            </w:pPr>
            <w:r>
              <w:rPr>
                <w:rFonts w:hint="eastAsia"/>
                <w:color w:val="0000FF"/>
                <w:sz w:val="24"/>
              </w:rPr>
              <w:t>根据水平衡分析，项目运营期生活污水产生量约0</w:t>
            </w:r>
            <w:r>
              <w:rPr>
                <w:color w:val="0000FF"/>
                <w:sz w:val="24"/>
              </w:rPr>
              <w:t>.24</w:t>
            </w:r>
            <w:r>
              <w:rPr>
                <w:rFonts w:hint="eastAsia"/>
                <w:color w:val="0000FF"/>
                <w:sz w:val="24"/>
              </w:rPr>
              <w:t>m³</w:t>
            </w:r>
            <w:r>
              <w:rPr>
                <w:color w:val="0000FF"/>
                <w:sz w:val="24"/>
              </w:rPr>
              <w:t>/</w:t>
            </w:r>
            <w:r>
              <w:rPr>
                <w:rFonts w:hint="eastAsia"/>
                <w:color w:val="0000FF"/>
                <w:sz w:val="24"/>
              </w:rPr>
              <w:t>d，7</w:t>
            </w:r>
            <w:r>
              <w:rPr>
                <w:color w:val="0000FF"/>
                <w:sz w:val="24"/>
              </w:rPr>
              <w:t>2.0</w:t>
            </w:r>
            <w:r>
              <w:rPr>
                <w:rFonts w:hint="eastAsia"/>
                <w:color w:val="0000FF"/>
                <w:sz w:val="24"/>
              </w:rPr>
              <w:t>m³</w:t>
            </w:r>
            <w:r>
              <w:rPr>
                <w:color w:val="0000FF"/>
                <w:sz w:val="24"/>
              </w:rPr>
              <w:t>/</w:t>
            </w:r>
            <w:r>
              <w:rPr>
                <w:rFonts w:hint="eastAsia"/>
                <w:color w:val="0000FF"/>
                <w:sz w:val="24"/>
              </w:rPr>
              <w:t>a。生活污水经化粪池收集沉淀处理后上清液于清水池内收集，回用于生产，不外排。</w:t>
            </w:r>
          </w:p>
          <w:p>
            <w:pPr>
              <w:pStyle w:val="24"/>
              <w:pBdr>
                <w:top w:val="none" w:color="auto" w:sz="0" w:space="0"/>
                <w:left w:val="none" w:color="auto" w:sz="0" w:space="0"/>
                <w:bottom w:val="none" w:color="auto" w:sz="0" w:space="0"/>
                <w:right w:val="none" w:color="auto" w:sz="0" w:space="0"/>
              </w:pBdr>
              <w:spacing w:line="360" w:lineRule="auto"/>
              <w:ind w:firstLine="480" w:firstLineChars="200"/>
              <w:rPr>
                <w:sz w:val="24"/>
              </w:rPr>
            </w:pPr>
            <w:r>
              <w:rPr>
                <w:rFonts w:hint="eastAsia"/>
                <w:sz w:val="24"/>
              </w:rPr>
              <w:t>参照《排放源统计调查产排污核算方法和系数手册-生活源》，本项目运营期生活污水中水污染物产生浓度及产生量核算如下：</w:t>
            </w:r>
          </w:p>
          <w:p>
            <w:pPr>
              <w:pStyle w:val="24"/>
              <w:pBdr>
                <w:top w:val="none" w:color="auto" w:sz="0" w:space="0"/>
                <w:left w:val="none" w:color="auto" w:sz="0" w:space="0"/>
                <w:bottom w:val="none" w:color="auto" w:sz="0" w:space="0"/>
                <w:right w:val="none" w:color="auto" w:sz="0" w:space="0"/>
              </w:pBdr>
              <w:jc w:val="center"/>
              <w:rPr>
                <w:b/>
                <w:sz w:val="24"/>
              </w:rPr>
            </w:pPr>
            <w:r>
              <w:rPr>
                <w:rFonts w:hint="eastAsia"/>
                <w:b/>
                <w:sz w:val="24"/>
              </w:rPr>
              <w:t>表4</w:t>
            </w:r>
            <w:r>
              <w:rPr>
                <w:b/>
                <w:sz w:val="24"/>
              </w:rPr>
              <w:t xml:space="preserve">.7-1  </w:t>
            </w:r>
            <w:r>
              <w:rPr>
                <w:rFonts w:hint="eastAsia"/>
                <w:b/>
                <w:sz w:val="24"/>
              </w:rPr>
              <w:t>生活污水污染物源强核算一览表</w:t>
            </w:r>
          </w:p>
          <w:tbl>
            <w:tblPr>
              <w:tblStyle w:val="3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818"/>
              <w:gridCol w:w="951"/>
              <w:gridCol w:w="831"/>
              <w:gridCol w:w="951"/>
              <w:gridCol w:w="1219"/>
              <w:gridCol w:w="1352"/>
              <w:gridCol w:w="13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37" w:type="pct"/>
                  <w:vAlign w:val="center"/>
                </w:tcPr>
                <w:p>
                  <w:pPr>
                    <w:pStyle w:val="24"/>
                    <w:pBdr>
                      <w:top w:val="none" w:color="auto" w:sz="0" w:space="0"/>
                      <w:left w:val="none" w:color="auto" w:sz="0" w:space="0"/>
                      <w:bottom w:val="none" w:color="auto" w:sz="0" w:space="0"/>
                      <w:right w:val="none" w:color="auto" w:sz="0" w:space="0"/>
                    </w:pBdr>
                    <w:jc w:val="center"/>
                    <w:rPr>
                      <w:b/>
                      <w:sz w:val="21"/>
                      <w:szCs w:val="21"/>
                    </w:rPr>
                  </w:pPr>
                  <w:r>
                    <w:rPr>
                      <w:rFonts w:hint="eastAsia"/>
                      <w:b/>
                      <w:sz w:val="21"/>
                      <w:szCs w:val="21"/>
                    </w:rPr>
                    <w:t>污染物名称</w:t>
                  </w:r>
                </w:p>
              </w:tc>
              <w:tc>
                <w:tcPr>
                  <w:tcW w:w="550" w:type="pct"/>
                  <w:vAlign w:val="center"/>
                </w:tcPr>
                <w:p>
                  <w:pPr>
                    <w:pStyle w:val="24"/>
                    <w:pBdr>
                      <w:top w:val="none" w:color="auto" w:sz="0" w:space="0"/>
                      <w:left w:val="none" w:color="auto" w:sz="0" w:space="0"/>
                      <w:bottom w:val="none" w:color="auto" w:sz="0" w:space="0"/>
                      <w:right w:val="none" w:color="auto" w:sz="0" w:space="0"/>
                    </w:pBdr>
                    <w:jc w:val="center"/>
                    <w:rPr>
                      <w:b/>
                      <w:sz w:val="21"/>
                      <w:szCs w:val="21"/>
                    </w:rPr>
                  </w:pPr>
                  <w:r>
                    <w:rPr>
                      <w:rFonts w:hint="eastAsia"/>
                      <w:b/>
                      <w:sz w:val="21"/>
                      <w:szCs w:val="21"/>
                    </w:rPr>
                    <w:t>COD</w:t>
                  </w:r>
                </w:p>
              </w:tc>
              <w:tc>
                <w:tcPr>
                  <w:tcW w:w="514" w:type="pct"/>
                </w:tcPr>
                <w:p>
                  <w:pPr>
                    <w:pStyle w:val="24"/>
                    <w:pBdr>
                      <w:top w:val="none" w:color="auto" w:sz="0" w:space="0"/>
                      <w:left w:val="none" w:color="auto" w:sz="0" w:space="0"/>
                      <w:bottom w:val="none" w:color="auto" w:sz="0" w:space="0"/>
                      <w:right w:val="none" w:color="auto" w:sz="0" w:space="0"/>
                    </w:pBdr>
                    <w:jc w:val="center"/>
                    <w:rPr>
                      <w:b/>
                      <w:sz w:val="21"/>
                      <w:szCs w:val="21"/>
                    </w:rPr>
                  </w:pPr>
                  <w:r>
                    <w:rPr>
                      <w:rFonts w:hint="eastAsia"/>
                      <w:b/>
                      <w:sz w:val="21"/>
                      <w:szCs w:val="21"/>
                    </w:rPr>
                    <w:t>BOD</w:t>
                  </w:r>
                  <w:r>
                    <w:rPr>
                      <w:b/>
                      <w:sz w:val="21"/>
                      <w:szCs w:val="21"/>
                      <w:vertAlign w:val="subscript"/>
                    </w:rPr>
                    <w:t>5</w:t>
                  </w:r>
                </w:p>
              </w:tc>
              <w:tc>
                <w:tcPr>
                  <w:tcW w:w="368" w:type="pct"/>
                </w:tcPr>
                <w:p>
                  <w:pPr>
                    <w:pStyle w:val="24"/>
                    <w:pBdr>
                      <w:top w:val="none" w:color="auto" w:sz="0" w:space="0"/>
                      <w:left w:val="none" w:color="auto" w:sz="0" w:space="0"/>
                      <w:bottom w:val="none" w:color="auto" w:sz="0" w:space="0"/>
                      <w:right w:val="none" w:color="auto" w:sz="0" w:space="0"/>
                    </w:pBdr>
                    <w:jc w:val="center"/>
                    <w:rPr>
                      <w:b/>
                      <w:sz w:val="21"/>
                      <w:szCs w:val="21"/>
                    </w:rPr>
                  </w:pPr>
                  <w:r>
                    <w:rPr>
                      <w:rFonts w:hint="eastAsia"/>
                      <w:b/>
                      <w:sz w:val="21"/>
                      <w:szCs w:val="21"/>
                    </w:rPr>
                    <w:t>SS</w:t>
                  </w:r>
                </w:p>
              </w:tc>
              <w:tc>
                <w:tcPr>
                  <w:tcW w:w="695" w:type="pct"/>
                  <w:vAlign w:val="center"/>
                </w:tcPr>
                <w:p>
                  <w:pPr>
                    <w:pStyle w:val="24"/>
                    <w:pBdr>
                      <w:top w:val="none" w:color="auto" w:sz="0" w:space="0"/>
                      <w:left w:val="none" w:color="auto" w:sz="0" w:space="0"/>
                      <w:bottom w:val="none" w:color="auto" w:sz="0" w:space="0"/>
                      <w:right w:val="none" w:color="auto" w:sz="0" w:space="0"/>
                    </w:pBdr>
                    <w:jc w:val="center"/>
                    <w:rPr>
                      <w:b/>
                      <w:sz w:val="21"/>
                      <w:szCs w:val="21"/>
                    </w:rPr>
                  </w:pPr>
                  <w:r>
                    <w:rPr>
                      <w:rFonts w:hint="eastAsia"/>
                      <w:b/>
                      <w:sz w:val="21"/>
                      <w:szCs w:val="21"/>
                    </w:rPr>
                    <w:t>NH</w:t>
                  </w:r>
                  <w:r>
                    <w:rPr>
                      <w:b/>
                      <w:sz w:val="21"/>
                      <w:szCs w:val="21"/>
                      <w:vertAlign w:val="subscript"/>
                    </w:rPr>
                    <w:t>3</w:t>
                  </w:r>
                  <w:r>
                    <w:rPr>
                      <w:b/>
                      <w:sz w:val="21"/>
                      <w:szCs w:val="21"/>
                    </w:rPr>
                    <w:t>-</w:t>
                  </w:r>
                  <w:r>
                    <w:rPr>
                      <w:rFonts w:hint="eastAsia"/>
                      <w:b/>
                      <w:sz w:val="21"/>
                      <w:szCs w:val="21"/>
                    </w:rPr>
                    <w:t>N</w:t>
                  </w:r>
                </w:p>
              </w:tc>
              <w:tc>
                <w:tcPr>
                  <w:tcW w:w="768" w:type="pct"/>
                  <w:vAlign w:val="center"/>
                </w:tcPr>
                <w:p>
                  <w:pPr>
                    <w:pStyle w:val="24"/>
                    <w:pBdr>
                      <w:top w:val="none" w:color="auto" w:sz="0" w:space="0"/>
                      <w:left w:val="none" w:color="auto" w:sz="0" w:space="0"/>
                      <w:bottom w:val="none" w:color="auto" w:sz="0" w:space="0"/>
                      <w:right w:val="none" w:color="auto" w:sz="0" w:space="0"/>
                    </w:pBdr>
                    <w:jc w:val="center"/>
                    <w:rPr>
                      <w:b/>
                      <w:sz w:val="21"/>
                      <w:szCs w:val="21"/>
                    </w:rPr>
                  </w:pPr>
                  <w:r>
                    <w:rPr>
                      <w:rFonts w:hint="eastAsia"/>
                      <w:b/>
                      <w:sz w:val="21"/>
                      <w:szCs w:val="21"/>
                    </w:rPr>
                    <w:t>TN</w:t>
                  </w:r>
                </w:p>
              </w:tc>
              <w:tc>
                <w:tcPr>
                  <w:tcW w:w="768" w:type="pct"/>
                  <w:vAlign w:val="center"/>
                </w:tcPr>
                <w:p>
                  <w:pPr>
                    <w:pStyle w:val="24"/>
                    <w:pBdr>
                      <w:top w:val="none" w:color="auto" w:sz="0" w:space="0"/>
                      <w:left w:val="none" w:color="auto" w:sz="0" w:space="0"/>
                      <w:bottom w:val="none" w:color="auto" w:sz="0" w:space="0"/>
                      <w:right w:val="none" w:color="auto" w:sz="0" w:space="0"/>
                    </w:pBdr>
                    <w:jc w:val="center"/>
                    <w:rPr>
                      <w:b/>
                      <w:sz w:val="21"/>
                      <w:szCs w:val="21"/>
                    </w:rPr>
                  </w:pPr>
                  <w:r>
                    <w:rPr>
                      <w:rFonts w:hint="eastAsia"/>
                      <w:b/>
                      <w:sz w:val="21"/>
                      <w:szCs w:val="21"/>
                    </w:rPr>
                    <w:t>TP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37" w:type="pct"/>
                  <w:vAlign w:val="center"/>
                </w:tcPr>
                <w:p>
                  <w:pPr>
                    <w:pStyle w:val="24"/>
                    <w:pBdr>
                      <w:top w:val="none" w:color="auto" w:sz="0" w:space="0"/>
                      <w:left w:val="none" w:color="auto" w:sz="0" w:space="0"/>
                      <w:bottom w:val="none" w:color="auto" w:sz="0" w:space="0"/>
                      <w:right w:val="none" w:color="auto" w:sz="0" w:space="0"/>
                    </w:pBdr>
                    <w:jc w:val="center"/>
                    <w:rPr>
                      <w:sz w:val="21"/>
                      <w:szCs w:val="21"/>
                    </w:rPr>
                  </w:pPr>
                  <w:r>
                    <w:rPr>
                      <w:rFonts w:hint="eastAsia"/>
                      <w:sz w:val="21"/>
                      <w:szCs w:val="21"/>
                    </w:rPr>
                    <w:t>产污系数（mg</w:t>
                  </w:r>
                  <w:r>
                    <w:rPr>
                      <w:sz w:val="21"/>
                      <w:szCs w:val="21"/>
                    </w:rPr>
                    <w:t>/</w:t>
                  </w:r>
                  <w:r>
                    <w:rPr>
                      <w:rFonts w:hint="eastAsia"/>
                      <w:sz w:val="21"/>
                      <w:szCs w:val="21"/>
                    </w:rPr>
                    <w:t>L）</w:t>
                  </w:r>
                </w:p>
              </w:tc>
              <w:tc>
                <w:tcPr>
                  <w:tcW w:w="550" w:type="pct"/>
                  <w:vAlign w:val="center"/>
                </w:tcPr>
                <w:p>
                  <w:pPr>
                    <w:pStyle w:val="24"/>
                    <w:pBdr>
                      <w:top w:val="none" w:color="auto" w:sz="0" w:space="0"/>
                      <w:left w:val="none" w:color="auto" w:sz="0" w:space="0"/>
                      <w:bottom w:val="none" w:color="auto" w:sz="0" w:space="0"/>
                      <w:right w:val="none" w:color="auto" w:sz="0" w:space="0"/>
                    </w:pBdr>
                    <w:jc w:val="center"/>
                    <w:rPr>
                      <w:sz w:val="21"/>
                      <w:szCs w:val="21"/>
                    </w:rPr>
                  </w:pPr>
                  <w:r>
                    <w:rPr>
                      <w:rFonts w:hint="eastAsia"/>
                      <w:sz w:val="21"/>
                      <w:szCs w:val="21"/>
                    </w:rPr>
                    <w:t>3</w:t>
                  </w:r>
                  <w:r>
                    <w:rPr>
                      <w:sz w:val="21"/>
                      <w:szCs w:val="21"/>
                    </w:rPr>
                    <w:t>50</w:t>
                  </w:r>
                </w:p>
              </w:tc>
              <w:tc>
                <w:tcPr>
                  <w:tcW w:w="514" w:type="pct"/>
                </w:tcPr>
                <w:p>
                  <w:pPr>
                    <w:pStyle w:val="24"/>
                    <w:pBdr>
                      <w:top w:val="none" w:color="auto" w:sz="0" w:space="0"/>
                      <w:left w:val="none" w:color="auto" w:sz="0" w:space="0"/>
                      <w:bottom w:val="none" w:color="auto" w:sz="0" w:space="0"/>
                      <w:right w:val="none" w:color="auto" w:sz="0" w:space="0"/>
                    </w:pBdr>
                    <w:jc w:val="center"/>
                    <w:rPr>
                      <w:sz w:val="21"/>
                      <w:szCs w:val="21"/>
                    </w:rPr>
                  </w:pPr>
                  <w:r>
                    <w:rPr>
                      <w:rFonts w:hint="eastAsia"/>
                      <w:sz w:val="21"/>
                      <w:szCs w:val="21"/>
                    </w:rPr>
                    <w:t>2</w:t>
                  </w:r>
                  <w:r>
                    <w:rPr>
                      <w:sz w:val="21"/>
                      <w:szCs w:val="21"/>
                    </w:rPr>
                    <w:t>50</w:t>
                  </w:r>
                </w:p>
              </w:tc>
              <w:tc>
                <w:tcPr>
                  <w:tcW w:w="368" w:type="pct"/>
                </w:tcPr>
                <w:p>
                  <w:pPr>
                    <w:pStyle w:val="24"/>
                    <w:pBdr>
                      <w:top w:val="none" w:color="auto" w:sz="0" w:space="0"/>
                      <w:left w:val="none" w:color="auto" w:sz="0" w:space="0"/>
                      <w:bottom w:val="none" w:color="auto" w:sz="0" w:space="0"/>
                      <w:right w:val="none" w:color="auto" w:sz="0" w:space="0"/>
                    </w:pBdr>
                    <w:jc w:val="center"/>
                    <w:rPr>
                      <w:sz w:val="21"/>
                      <w:szCs w:val="21"/>
                    </w:rPr>
                  </w:pPr>
                  <w:r>
                    <w:rPr>
                      <w:rFonts w:hint="eastAsia"/>
                      <w:sz w:val="21"/>
                      <w:szCs w:val="21"/>
                    </w:rPr>
                    <w:t>3</w:t>
                  </w:r>
                  <w:r>
                    <w:rPr>
                      <w:sz w:val="21"/>
                      <w:szCs w:val="21"/>
                    </w:rPr>
                    <w:t>00</w:t>
                  </w:r>
                </w:p>
              </w:tc>
              <w:tc>
                <w:tcPr>
                  <w:tcW w:w="695" w:type="pct"/>
                  <w:vAlign w:val="center"/>
                </w:tcPr>
                <w:p>
                  <w:pPr>
                    <w:pStyle w:val="24"/>
                    <w:pBdr>
                      <w:top w:val="none" w:color="auto" w:sz="0" w:space="0"/>
                      <w:left w:val="none" w:color="auto" w:sz="0" w:space="0"/>
                      <w:bottom w:val="none" w:color="auto" w:sz="0" w:space="0"/>
                      <w:right w:val="none" w:color="auto" w:sz="0" w:space="0"/>
                    </w:pBdr>
                    <w:jc w:val="center"/>
                    <w:rPr>
                      <w:sz w:val="21"/>
                      <w:szCs w:val="21"/>
                    </w:rPr>
                  </w:pPr>
                  <w:r>
                    <w:rPr>
                      <w:rFonts w:hint="eastAsia"/>
                      <w:sz w:val="21"/>
                      <w:szCs w:val="21"/>
                    </w:rPr>
                    <w:t>3</w:t>
                  </w:r>
                  <w:r>
                    <w:rPr>
                      <w:sz w:val="21"/>
                      <w:szCs w:val="21"/>
                    </w:rPr>
                    <w:t>6.5</w:t>
                  </w:r>
                </w:p>
              </w:tc>
              <w:tc>
                <w:tcPr>
                  <w:tcW w:w="768" w:type="pct"/>
                  <w:vAlign w:val="center"/>
                </w:tcPr>
                <w:p>
                  <w:pPr>
                    <w:pStyle w:val="24"/>
                    <w:pBdr>
                      <w:top w:val="none" w:color="auto" w:sz="0" w:space="0"/>
                      <w:left w:val="none" w:color="auto" w:sz="0" w:space="0"/>
                      <w:bottom w:val="none" w:color="auto" w:sz="0" w:space="0"/>
                      <w:right w:val="none" w:color="auto" w:sz="0" w:space="0"/>
                    </w:pBdr>
                    <w:jc w:val="center"/>
                    <w:rPr>
                      <w:sz w:val="21"/>
                      <w:szCs w:val="21"/>
                    </w:rPr>
                  </w:pPr>
                  <w:r>
                    <w:rPr>
                      <w:rFonts w:hint="eastAsia"/>
                      <w:sz w:val="21"/>
                      <w:szCs w:val="21"/>
                    </w:rPr>
                    <w:t>4</w:t>
                  </w:r>
                  <w:r>
                    <w:rPr>
                      <w:sz w:val="21"/>
                      <w:szCs w:val="21"/>
                    </w:rPr>
                    <w:t>8.7</w:t>
                  </w:r>
                </w:p>
              </w:tc>
              <w:tc>
                <w:tcPr>
                  <w:tcW w:w="768" w:type="pct"/>
                  <w:vAlign w:val="center"/>
                </w:tcPr>
                <w:p>
                  <w:pPr>
                    <w:pStyle w:val="24"/>
                    <w:pBdr>
                      <w:top w:val="none" w:color="auto" w:sz="0" w:space="0"/>
                      <w:left w:val="none" w:color="auto" w:sz="0" w:space="0"/>
                      <w:bottom w:val="none" w:color="auto" w:sz="0" w:space="0"/>
                      <w:right w:val="none" w:color="auto" w:sz="0" w:space="0"/>
                    </w:pBdr>
                    <w:spacing w:line="360" w:lineRule="auto"/>
                    <w:ind w:firstLine="420" w:firstLineChars="200"/>
                    <w:rPr>
                      <w:sz w:val="21"/>
                      <w:szCs w:val="21"/>
                    </w:rPr>
                  </w:pPr>
                  <w:r>
                    <w:rPr>
                      <w:rFonts w:hint="eastAsia"/>
                      <w:sz w:val="21"/>
                      <w:szCs w:val="21"/>
                    </w:rPr>
                    <w:t>4</w:t>
                  </w:r>
                  <w:r>
                    <w:rPr>
                      <w:sz w:val="21"/>
                      <w:szCs w:val="21"/>
                    </w:rPr>
                    <w:t>.42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37" w:type="pct"/>
                  <w:vAlign w:val="center"/>
                </w:tcPr>
                <w:p>
                  <w:pPr>
                    <w:pStyle w:val="24"/>
                    <w:pBdr>
                      <w:top w:val="none" w:color="auto" w:sz="0" w:space="0"/>
                      <w:left w:val="none" w:color="auto" w:sz="0" w:space="0"/>
                      <w:bottom w:val="none" w:color="auto" w:sz="0" w:space="0"/>
                      <w:right w:val="none" w:color="auto" w:sz="0" w:space="0"/>
                    </w:pBdr>
                    <w:jc w:val="center"/>
                    <w:rPr>
                      <w:sz w:val="21"/>
                      <w:szCs w:val="21"/>
                    </w:rPr>
                  </w:pPr>
                  <w:r>
                    <w:rPr>
                      <w:rFonts w:hint="eastAsia"/>
                      <w:sz w:val="21"/>
                      <w:szCs w:val="21"/>
                    </w:rPr>
                    <w:t>产生量（t/a）</w:t>
                  </w:r>
                </w:p>
              </w:tc>
              <w:tc>
                <w:tcPr>
                  <w:tcW w:w="550" w:type="pct"/>
                  <w:vAlign w:val="center"/>
                </w:tcPr>
                <w:p>
                  <w:pPr>
                    <w:pStyle w:val="24"/>
                    <w:pBdr>
                      <w:top w:val="none" w:color="auto" w:sz="0" w:space="0"/>
                      <w:left w:val="none" w:color="auto" w:sz="0" w:space="0"/>
                      <w:bottom w:val="none" w:color="auto" w:sz="0" w:space="0"/>
                      <w:right w:val="none" w:color="auto" w:sz="0" w:space="0"/>
                    </w:pBdr>
                    <w:jc w:val="center"/>
                    <w:rPr>
                      <w:sz w:val="21"/>
                      <w:szCs w:val="21"/>
                    </w:rPr>
                  </w:pPr>
                  <w:r>
                    <w:rPr>
                      <w:rFonts w:eastAsia="等线"/>
                      <w:sz w:val="21"/>
                      <w:szCs w:val="21"/>
                    </w:rPr>
                    <w:t>0.0252</w:t>
                  </w:r>
                </w:p>
              </w:tc>
              <w:tc>
                <w:tcPr>
                  <w:tcW w:w="514" w:type="pct"/>
                </w:tcPr>
                <w:p>
                  <w:pPr>
                    <w:pStyle w:val="24"/>
                    <w:pBdr>
                      <w:top w:val="none" w:color="auto" w:sz="0" w:space="0"/>
                      <w:left w:val="none" w:color="auto" w:sz="0" w:space="0"/>
                      <w:bottom w:val="none" w:color="auto" w:sz="0" w:space="0"/>
                      <w:right w:val="none" w:color="auto" w:sz="0" w:space="0"/>
                    </w:pBdr>
                    <w:jc w:val="center"/>
                    <w:rPr>
                      <w:rFonts w:eastAsia="等线"/>
                      <w:sz w:val="21"/>
                      <w:szCs w:val="21"/>
                    </w:rPr>
                  </w:pPr>
                  <w:r>
                    <w:rPr>
                      <w:rFonts w:hint="eastAsia" w:eastAsia="等线"/>
                      <w:sz w:val="21"/>
                      <w:szCs w:val="21"/>
                    </w:rPr>
                    <w:t>0</w:t>
                  </w:r>
                  <w:r>
                    <w:rPr>
                      <w:rFonts w:eastAsia="等线"/>
                      <w:sz w:val="21"/>
                      <w:szCs w:val="21"/>
                    </w:rPr>
                    <w:t>.018</w:t>
                  </w:r>
                </w:p>
              </w:tc>
              <w:tc>
                <w:tcPr>
                  <w:tcW w:w="368" w:type="pct"/>
                </w:tcPr>
                <w:p>
                  <w:pPr>
                    <w:pStyle w:val="24"/>
                    <w:pBdr>
                      <w:top w:val="none" w:color="auto" w:sz="0" w:space="0"/>
                      <w:left w:val="none" w:color="auto" w:sz="0" w:space="0"/>
                      <w:bottom w:val="none" w:color="auto" w:sz="0" w:space="0"/>
                      <w:right w:val="none" w:color="auto" w:sz="0" w:space="0"/>
                    </w:pBdr>
                    <w:jc w:val="center"/>
                    <w:rPr>
                      <w:rFonts w:eastAsia="等线"/>
                      <w:sz w:val="21"/>
                      <w:szCs w:val="21"/>
                    </w:rPr>
                  </w:pPr>
                  <w:r>
                    <w:rPr>
                      <w:rFonts w:hint="eastAsia" w:eastAsia="等线"/>
                      <w:sz w:val="21"/>
                      <w:szCs w:val="21"/>
                    </w:rPr>
                    <w:t>0</w:t>
                  </w:r>
                  <w:r>
                    <w:rPr>
                      <w:rFonts w:eastAsia="等线"/>
                      <w:sz w:val="21"/>
                      <w:szCs w:val="21"/>
                    </w:rPr>
                    <w:t>.0216</w:t>
                  </w:r>
                </w:p>
              </w:tc>
              <w:tc>
                <w:tcPr>
                  <w:tcW w:w="695" w:type="pct"/>
                  <w:vAlign w:val="center"/>
                </w:tcPr>
                <w:p>
                  <w:pPr>
                    <w:pStyle w:val="24"/>
                    <w:pBdr>
                      <w:top w:val="none" w:color="auto" w:sz="0" w:space="0"/>
                      <w:left w:val="none" w:color="auto" w:sz="0" w:space="0"/>
                      <w:bottom w:val="none" w:color="auto" w:sz="0" w:space="0"/>
                      <w:right w:val="none" w:color="auto" w:sz="0" w:space="0"/>
                    </w:pBdr>
                    <w:jc w:val="center"/>
                    <w:rPr>
                      <w:sz w:val="21"/>
                      <w:szCs w:val="21"/>
                    </w:rPr>
                  </w:pPr>
                  <w:r>
                    <w:rPr>
                      <w:rFonts w:eastAsia="等线"/>
                      <w:sz w:val="21"/>
                      <w:szCs w:val="21"/>
                    </w:rPr>
                    <w:t>0.002628</w:t>
                  </w:r>
                </w:p>
              </w:tc>
              <w:tc>
                <w:tcPr>
                  <w:tcW w:w="768" w:type="pct"/>
                  <w:vAlign w:val="center"/>
                </w:tcPr>
                <w:p>
                  <w:pPr>
                    <w:pStyle w:val="24"/>
                    <w:pBdr>
                      <w:top w:val="none" w:color="auto" w:sz="0" w:space="0"/>
                      <w:left w:val="none" w:color="auto" w:sz="0" w:space="0"/>
                      <w:bottom w:val="none" w:color="auto" w:sz="0" w:space="0"/>
                      <w:right w:val="none" w:color="auto" w:sz="0" w:space="0"/>
                    </w:pBdr>
                    <w:jc w:val="center"/>
                    <w:rPr>
                      <w:sz w:val="21"/>
                      <w:szCs w:val="21"/>
                    </w:rPr>
                  </w:pPr>
                  <w:r>
                    <w:rPr>
                      <w:rFonts w:eastAsia="等线"/>
                      <w:sz w:val="21"/>
                      <w:szCs w:val="21"/>
                    </w:rPr>
                    <w:t>0.0035064</w:t>
                  </w:r>
                </w:p>
              </w:tc>
              <w:tc>
                <w:tcPr>
                  <w:tcW w:w="768" w:type="pct"/>
                  <w:vAlign w:val="center"/>
                </w:tcPr>
                <w:p>
                  <w:pPr>
                    <w:pStyle w:val="24"/>
                    <w:pBdr>
                      <w:top w:val="none" w:color="auto" w:sz="0" w:space="0"/>
                      <w:left w:val="none" w:color="auto" w:sz="0" w:space="0"/>
                      <w:bottom w:val="none" w:color="auto" w:sz="0" w:space="0"/>
                      <w:right w:val="none" w:color="auto" w:sz="0" w:space="0"/>
                    </w:pBdr>
                    <w:jc w:val="center"/>
                    <w:rPr>
                      <w:sz w:val="21"/>
                      <w:szCs w:val="21"/>
                    </w:rPr>
                  </w:pPr>
                  <w:r>
                    <w:rPr>
                      <w:rFonts w:eastAsia="等线"/>
                      <w:sz w:val="21"/>
                      <w:szCs w:val="21"/>
                    </w:rPr>
                    <w:t>0.0003182</w:t>
                  </w:r>
                </w:p>
              </w:tc>
            </w:tr>
          </w:tbl>
          <w:p>
            <w:pPr>
              <w:pStyle w:val="24"/>
              <w:pBdr>
                <w:top w:val="none" w:color="auto" w:sz="0" w:space="0"/>
                <w:left w:val="none" w:color="auto" w:sz="0" w:space="0"/>
                <w:bottom w:val="none" w:color="auto" w:sz="0" w:space="0"/>
                <w:right w:val="none" w:color="auto" w:sz="0" w:space="0"/>
              </w:pBdr>
              <w:spacing w:line="360" w:lineRule="auto"/>
              <w:ind w:firstLine="481" w:firstLineChars="200"/>
              <w:rPr>
                <w:b/>
                <w:sz w:val="24"/>
              </w:rPr>
            </w:pPr>
            <w:r>
              <w:rPr>
                <w:rFonts w:hint="eastAsia"/>
                <w:b/>
                <w:sz w:val="24"/>
              </w:rPr>
              <w:t>（</w:t>
            </w:r>
            <w:r>
              <w:rPr>
                <w:b/>
                <w:sz w:val="24"/>
              </w:rPr>
              <w:t>2</w:t>
            </w:r>
            <w:r>
              <w:rPr>
                <w:rFonts w:hint="eastAsia"/>
                <w:b/>
                <w:sz w:val="24"/>
              </w:rPr>
              <w:t>）生产废水源强核算</w:t>
            </w:r>
          </w:p>
          <w:p>
            <w:pPr>
              <w:pStyle w:val="24"/>
              <w:pBdr>
                <w:top w:val="none" w:color="auto" w:sz="0" w:space="0"/>
                <w:left w:val="none" w:color="auto" w:sz="0" w:space="0"/>
                <w:bottom w:val="none" w:color="auto" w:sz="0" w:space="0"/>
                <w:right w:val="none" w:color="auto" w:sz="0" w:space="0"/>
              </w:pBdr>
              <w:spacing w:line="360" w:lineRule="auto"/>
              <w:ind w:firstLine="480" w:firstLineChars="200"/>
              <w:rPr>
                <w:sz w:val="24"/>
              </w:rPr>
            </w:pPr>
            <w:r>
              <w:rPr>
                <w:rFonts w:hint="eastAsia"/>
                <w:sz w:val="24"/>
              </w:rPr>
              <w:t>根据水平衡分析，项目运营期生产废水（洗砂废水、车辆清洗废水）产生量合计约1</w:t>
            </w:r>
            <w:r>
              <w:rPr>
                <w:sz w:val="24"/>
              </w:rPr>
              <w:t>20.192</w:t>
            </w:r>
            <w:r>
              <w:rPr>
                <w:rFonts w:hint="eastAsia"/>
                <w:sz w:val="24"/>
              </w:rPr>
              <w:t>m³</w:t>
            </w:r>
            <w:r>
              <w:rPr>
                <w:sz w:val="24"/>
              </w:rPr>
              <w:t>/</w:t>
            </w:r>
            <w:r>
              <w:rPr>
                <w:rFonts w:hint="eastAsia"/>
                <w:sz w:val="24"/>
              </w:rPr>
              <w:t>d，3</w:t>
            </w:r>
            <w:r>
              <w:rPr>
                <w:sz w:val="24"/>
              </w:rPr>
              <w:t>6057.6</w:t>
            </w:r>
            <w:r>
              <w:rPr>
                <w:rFonts w:hint="eastAsia"/>
                <w:sz w:val="24"/>
              </w:rPr>
              <w:t>m³</w:t>
            </w:r>
            <w:r>
              <w:rPr>
                <w:sz w:val="24"/>
              </w:rPr>
              <w:t>/</w:t>
            </w:r>
            <w:r>
              <w:rPr>
                <w:rFonts w:hint="eastAsia"/>
                <w:sz w:val="24"/>
              </w:rPr>
              <w:t>a。生产废水中主要水污染物为SS，类比同类项目，生产废水中SS浓度可达2</w:t>
            </w:r>
            <w:r>
              <w:rPr>
                <w:sz w:val="24"/>
              </w:rPr>
              <w:t>0000</w:t>
            </w:r>
            <w:r>
              <w:rPr>
                <w:rFonts w:hint="eastAsia"/>
                <w:sz w:val="24"/>
              </w:rPr>
              <w:t>mg</w:t>
            </w:r>
            <w:r>
              <w:rPr>
                <w:sz w:val="24"/>
              </w:rPr>
              <w:t>/</w:t>
            </w:r>
            <w:r>
              <w:rPr>
                <w:rFonts w:hint="eastAsia"/>
                <w:sz w:val="24"/>
              </w:rPr>
              <w:t>L。由于项目运营期生产废水经收集沉淀处理后循环使用，故对生产废水总各污染物不再进行量化分析。</w:t>
            </w:r>
          </w:p>
          <w:bookmarkEnd w:id="53"/>
          <w:p>
            <w:pPr>
              <w:pStyle w:val="24"/>
              <w:pBdr>
                <w:top w:val="none" w:color="auto" w:sz="0" w:space="0"/>
                <w:left w:val="none" w:color="auto" w:sz="0" w:space="0"/>
                <w:bottom w:val="none" w:color="auto" w:sz="0" w:space="0"/>
                <w:right w:val="none" w:color="auto" w:sz="0" w:space="0"/>
              </w:pBdr>
              <w:spacing w:line="360" w:lineRule="auto"/>
              <w:rPr>
                <w:b/>
                <w:sz w:val="24"/>
              </w:rPr>
            </w:pPr>
            <w:r>
              <w:rPr>
                <w:rFonts w:hint="eastAsia"/>
                <w:b/>
                <w:sz w:val="24"/>
              </w:rPr>
              <w:t>2、废水排放口设置情况</w:t>
            </w:r>
          </w:p>
          <w:p>
            <w:pPr>
              <w:pStyle w:val="24"/>
              <w:pBdr>
                <w:top w:val="none" w:color="auto" w:sz="0" w:space="0"/>
                <w:left w:val="none" w:color="auto" w:sz="0" w:space="0"/>
                <w:bottom w:val="none" w:color="auto" w:sz="0" w:space="0"/>
                <w:right w:val="none" w:color="auto" w:sz="0" w:space="0"/>
              </w:pBdr>
              <w:spacing w:line="360" w:lineRule="auto"/>
              <w:ind w:firstLine="480" w:firstLineChars="200"/>
              <w:rPr>
                <w:color w:val="0000FF"/>
                <w:sz w:val="24"/>
              </w:rPr>
            </w:pPr>
            <w:r>
              <w:rPr>
                <w:rFonts w:hint="eastAsia"/>
                <w:color w:val="0000FF"/>
                <w:sz w:val="24"/>
              </w:rPr>
              <w:t>项目运营期生活污水经化粪池收集沉淀处理后上清液于清水池内暂存，回用于洗砂工段，不外排；生产废水（洗砂废水、车辆清洗废水）经三级沉淀池收集场地处理后于清水池内暂存，循环利用于洗砂工段，不外排；雨天初期雨水经初期雨水收集池收集场地处理后回用于洗砂工段，不外排。综上，项目运营期生产生活污水经合理收集后回用，不外排，故项目不向外环境设置废水排放口。</w:t>
            </w:r>
          </w:p>
          <w:p>
            <w:pPr>
              <w:spacing w:line="360" w:lineRule="auto"/>
              <w:rPr>
                <w:b/>
                <w:bCs/>
                <w:sz w:val="24"/>
              </w:rPr>
            </w:pPr>
            <w:r>
              <w:rPr>
                <w:b/>
                <w:bCs/>
                <w:sz w:val="24"/>
              </w:rPr>
              <w:t>3</w:t>
            </w:r>
            <w:r>
              <w:rPr>
                <w:rFonts w:hint="eastAsia"/>
                <w:b/>
                <w:bCs/>
                <w:sz w:val="24"/>
              </w:rPr>
              <w:t>、废水污染防治措施及处理工艺可行性</w:t>
            </w:r>
          </w:p>
          <w:p>
            <w:pPr>
              <w:pStyle w:val="24"/>
              <w:spacing w:line="360" w:lineRule="auto"/>
              <w:ind w:firstLine="481" w:firstLineChars="200"/>
              <w:rPr>
                <w:b/>
                <w:sz w:val="24"/>
              </w:rPr>
            </w:pPr>
            <w:r>
              <w:rPr>
                <w:rFonts w:hint="eastAsia"/>
                <w:b/>
                <w:sz w:val="24"/>
              </w:rPr>
              <w:t>（1）生活污水处置措施可行性分析</w:t>
            </w:r>
          </w:p>
          <w:p>
            <w:pPr>
              <w:pStyle w:val="24"/>
              <w:spacing w:line="360" w:lineRule="auto"/>
              <w:ind w:firstLine="480" w:firstLineChars="200"/>
              <w:rPr>
                <w:sz w:val="24"/>
              </w:rPr>
            </w:pPr>
            <w:r>
              <w:rPr>
                <w:rFonts w:hint="eastAsia"/>
                <w:sz w:val="24"/>
              </w:rPr>
              <w:t>根据水平衡分析，项目运行期职工食堂废水排放量约</w:t>
            </w:r>
            <w:r>
              <w:rPr>
                <w:sz w:val="24"/>
              </w:rPr>
              <w:t>0.08</w:t>
            </w:r>
            <w:r>
              <w:rPr>
                <w:rFonts w:hint="eastAsia"/>
                <w:sz w:val="24"/>
              </w:rPr>
              <w:t>m³</w:t>
            </w:r>
            <w:r>
              <w:rPr>
                <w:sz w:val="24"/>
              </w:rPr>
              <w:t>/</w:t>
            </w:r>
            <w:r>
              <w:rPr>
                <w:rFonts w:hint="eastAsia"/>
                <w:sz w:val="24"/>
              </w:rPr>
              <w:t>d，参照中华人民共和国国家环境保护标准《饮食业环境保护技术规范》（HJ554-2010），隔油设施设计应符合下列规定：</w:t>
            </w:r>
          </w:p>
          <w:p>
            <w:pPr>
              <w:pStyle w:val="24"/>
              <w:spacing w:line="360" w:lineRule="auto"/>
              <w:ind w:firstLine="480" w:firstLineChars="200"/>
              <w:rPr>
                <w:sz w:val="24"/>
              </w:rPr>
            </w:pPr>
            <w:r>
              <w:rPr>
                <w:sz w:val="24"/>
              </w:rPr>
              <w:t>A</w:t>
            </w:r>
            <w:r>
              <w:rPr>
                <w:rFonts w:hint="eastAsia"/>
                <w:sz w:val="24"/>
              </w:rPr>
              <w:t>、含油污水的水力停留时间不宜小于0.5h；</w:t>
            </w:r>
          </w:p>
          <w:p>
            <w:pPr>
              <w:pStyle w:val="24"/>
              <w:spacing w:line="360" w:lineRule="auto"/>
              <w:ind w:firstLine="480" w:firstLineChars="200"/>
              <w:rPr>
                <w:sz w:val="24"/>
              </w:rPr>
            </w:pPr>
            <w:r>
              <w:rPr>
                <w:sz w:val="24"/>
              </w:rPr>
              <w:t>B</w:t>
            </w:r>
            <w:r>
              <w:rPr>
                <w:rFonts w:hint="eastAsia"/>
                <w:sz w:val="24"/>
              </w:rPr>
              <w:t>、池内水流流速不宜大于0.005m/s；</w:t>
            </w:r>
          </w:p>
          <w:p>
            <w:pPr>
              <w:pStyle w:val="24"/>
              <w:spacing w:line="360" w:lineRule="auto"/>
              <w:ind w:firstLine="480" w:firstLineChars="200"/>
              <w:rPr>
                <w:sz w:val="24"/>
              </w:rPr>
            </w:pPr>
            <w:r>
              <w:rPr>
                <w:sz w:val="24"/>
              </w:rPr>
              <w:t>C</w:t>
            </w:r>
            <w:r>
              <w:rPr>
                <w:rFonts w:hint="eastAsia"/>
                <w:sz w:val="24"/>
              </w:rPr>
              <w:t>、池内分格宜取两档三格；</w:t>
            </w:r>
          </w:p>
          <w:p>
            <w:pPr>
              <w:pStyle w:val="24"/>
              <w:spacing w:line="360" w:lineRule="auto"/>
              <w:ind w:firstLine="480" w:firstLineChars="200"/>
              <w:rPr>
                <w:sz w:val="24"/>
              </w:rPr>
            </w:pPr>
            <w:r>
              <w:rPr>
                <w:sz w:val="24"/>
              </w:rPr>
              <w:t>D</w:t>
            </w:r>
            <w:r>
              <w:rPr>
                <w:rFonts w:hint="eastAsia"/>
                <w:sz w:val="24"/>
              </w:rPr>
              <w:t>、人工除油的隔油设施内部存油部分的容积不得小于该池有效容积的25％，隔油设施出水管管底至池底的深度，不得小于0.6m。</w:t>
            </w:r>
          </w:p>
          <w:p>
            <w:pPr>
              <w:pStyle w:val="24"/>
              <w:spacing w:line="360" w:lineRule="auto"/>
              <w:ind w:firstLine="480" w:firstLineChars="200"/>
              <w:rPr>
                <w:sz w:val="24"/>
              </w:rPr>
            </w:pPr>
            <w:r>
              <w:rPr>
                <w:rFonts w:hint="eastAsia"/>
                <w:sz w:val="24"/>
              </w:rPr>
              <w:t>按照上述规定，本项目运行期食堂废水按日产生时间</w:t>
            </w:r>
            <w:r>
              <w:rPr>
                <w:sz w:val="24"/>
              </w:rPr>
              <w:t>2</w:t>
            </w:r>
            <w:r>
              <w:rPr>
                <w:rFonts w:hint="eastAsia"/>
                <w:sz w:val="24"/>
              </w:rPr>
              <w:t>h/d计，食堂废水在池内的停留时间为0.5h，本项目设置油水分离器处理能为为</w:t>
            </w:r>
            <w:r>
              <w:rPr>
                <w:sz w:val="24"/>
              </w:rPr>
              <w:t>0.05</w:t>
            </w:r>
            <w:r>
              <w:rPr>
                <w:rFonts w:hint="eastAsia"/>
                <w:sz w:val="24"/>
              </w:rPr>
              <w:t>m³</w:t>
            </w:r>
            <w:r>
              <w:rPr>
                <w:sz w:val="24"/>
              </w:rPr>
              <w:t>/</w:t>
            </w:r>
            <w:r>
              <w:rPr>
                <w:rFonts w:hint="eastAsia"/>
                <w:sz w:val="24"/>
              </w:rPr>
              <w:t>h，满足项目运营期厨房废水隔油处置需求。</w:t>
            </w:r>
          </w:p>
          <w:p>
            <w:pPr>
              <w:spacing w:line="360" w:lineRule="auto"/>
              <w:ind w:firstLine="480" w:firstLineChars="200"/>
              <w:rPr>
                <w:sz w:val="24"/>
              </w:rPr>
            </w:pPr>
            <w:r>
              <w:rPr>
                <w:sz w:val="24"/>
              </w:rPr>
              <w:t>《建筑给水排水设计规范》</w:t>
            </w:r>
            <w:r>
              <w:rPr>
                <w:rFonts w:hint="eastAsia"/>
                <w:sz w:val="24"/>
              </w:rPr>
              <w:t>（</w:t>
            </w:r>
            <w:r>
              <w:rPr>
                <w:sz w:val="24"/>
              </w:rPr>
              <w:t>2009版</w:t>
            </w:r>
            <w:r>
              <w:rPr>
                <w:rFonts w:hint="eastAsia"/>
                <w:sz w:val="24"/>
              </w:rPr>
              <w:t>）（</w:t>
            </w:r>
            <w:r>
              <w:rPr>
                <w:sz w:val="24"/>
              </w:rPr>
              <w:t>GB 50015-2003</w:t>
            </w:r>
            <w:r>
              <w:rPr>
                <w:rFonts w:hint="eastAsia"/>
                <w:sz w:val="24"/>
              </w:rPr>
              <w:t>）</w:t>
            </w:r>
            <w:r>
              <w:rPr>
                <w:sz w:val="24"/>
              </w:rPr>
              <w:t>中规定“污水在化粪池内的停留时间宜采用12h~24h”。</w:t>
            </w:r>
            <w:r>
              <w:rPr>
                <w:rFonts w:hint="eastAsia"/>
                <w:sz w:val="24"/>
              </w:rPr>
              <w:t>项目建设</w:t>
            </w:r>
            <w:r>
              <w:rPr>
                <w:sz w:val="24"/>
              </w:rPr>
              <w:t>2</w:t>
            </w:r>
            <w:r>
              <w:rPr>
                <w:rFonts w:hint="eastAsia"/>
                <w:sz w:val="24"/>
              </w:rPr>
              <w:t>m³地埋式化粪池1座，运营期全厂生活污水产生量约</w:t>
            </w:r>
            <w:r>
              <w:rPr>
                <w:sz w:val="24"/>
              </w:rPr>
              <w:t>0.24</w:t>
            </w:r>
            <w:r>
              <w:rPr>
                <w:rFonts w:hint="eastAsia"/>
                <w:sz w:val="24"/>
              </w:rPr>
              <w:t>m³</w:t>
            </w:r>
            <w:r>
              <w:rPr>
                <w:sz w:val="24"/>
              </w:rPr>
              <w:t>/</w:t>
            </w:r>
            <w:r>
              <w:rPr>
                <w:rFonts w:hint="eastAsia"/>
                <w:sz w:val="24"/>
              </w:rPr>
              <w:t>d，设计化粪池可保证废水在池内停留2</w:t>
            </w:r>
            <w:r>
              <w:rPr>
                <w:sz w:val="24"/>
              </w:rPr>
              <w:t>4</w:t>
            </w:r>
            <w:r>
              <w:rPr>
                <w:rFonts w:hint="eastAsia"/>
                <w:sz w:val="24"/>
              </w:rPr>
              <w:t>小时，满足运营期生活废水的收集暂存需求。</w:t>
            </w:r>
          </w:p>
          <w:p>
            <w:pPr>
              <w:spacing w:line="360" w:lineRule="auto"/>
              <w:ind w:firstLine="480" w:firstLineChars="200"/>
              <w:rPr>
                <w:sz w:val="24"/>
              </w:rPr>
            </w:pPr>
            <w:r>
              <w:rPr>
                <w:rFonts w:hint="eastAsia"/>
                <w:sz w:val="24"/>
              </w:rPr>
              <w:t>项目运营期生活污水产生量为0</w:t>
            </w:r>
            <w:r>
              <w:rPr>
                <w:sz w:val="24"/>
              </w:rPr>
              <w:t>.24</w:t>
            </w:r>
            <w:r>
              <w:rPr>
                <w:rFonts w:hint="eastAsia"/>
                <w:sz w:val="24"/>
              </w:rPr>
              <w:t>m³</w:t>
            </w:r>
            <w:r>
              <w:rPr>
                <w:sz w:val="24"/>
              </w:rPr>
              <w:t>/</w:t>
            </w:r>
            <w:r>
              <w:rPr>
                <w:rFonts w:hint="eastAsia"/>
                <w:sz w:val="24"/>
              </w:rPr>
              <w:t>d，拟建化粪池容积</w:t>
            </w:r>
            <w:r>
              <w:rPr>
                <w:sz w:val="24"/>
              </w:rPr>
              <w:t>2</w:t>
            </w:r>
            <w:r>
              <w:rPr>
                <w:rFonts w:hint="eastAsia"/>
                <w:sz w:val="24"/>
              </w:rPr>
              <w:t>m³，理论可最大储存约</w:t>
            </w:r>
            <w:r>
              <w:rPr>
                <w:sz w:val="24"/>
              </w:rPr>
              <w:t>8</w:t>
            </w:r>
            <w:r>
              <w:rPr>
                <w:rFonts w:hint="eastAsia"/>
                <w:sz w:val="24"/>
              </w:rPr>
              <w:t>d的生活污水量，故项目化粪池容积满足雨天生活污水收集暂存需求。</w:t>
            </w:r>
          </w:p>
          <w:p>
            <w:pPr>
              <w:spacing w:line="360" w:lineRule="auto"/>
              <w:ind w:firstLine="481" w:firstLineChars="200"/>
              <w:rPr>
                <w:b/>
                <w:sz w:val="24"/>
              </w:rPr>
            </w:pPr>
            <w:r>
              <w:rPr>
                <w:rFonts w:hint="eastAsia"/>
                <w:b/>
                <w:sz w:val="24"/>
              </w:rPr>
              <w:t>（</w:t>
            </w:r>
            <w:r>
              <w:rPr>
                <w:b/>
                <w:sz w:val="24"/>
              </w:rPr>
              <w:t>2</w:t>
            </w:r>
            <w:r>
              <w:rPr>
                <w:rFonts w:hint="eastAsia"/>
                <w:b/>
                <w:sz w:val="24"/>
              </w:rPr>
              <w:t>）生产废水处置措施可行性分析</w:t>
            </w:r>
          </w:p>
          <w:p>
            <w:pPr>
              <w:spacing w:line="360" w:lineRule="auto"/>
              <w:ind w:firstLine="480" w:firstLineChars="200"/>
              <w:rPr>
                <w:sz w:val="24"/>
              </w:rPr>
            </w:pPr>
            <w:r>
              <w:rPr>
                <w:rFonts w:hint="eastAsia"/>
                <w:sz w:val="24"/>
              </w:rPr>
              <w:t>项目运营期生产废水（洗砂废水、车辆清洗废水）经三级沉淀池收集沉淀处理后排入清水池，循环使用于洗砂工段。根据水平衡分析，项目运营期生产废水产生量约1</w:t>
            </w:r>
            <w:r>
              <w:rPr>
                <w:sz w:val="24"/>
              </w:rPr>
              <w:t>20.192</w:t>
            </w:r>
            <w:r>
              <w:rPr>
                <w:rFonts w:hint="eastAsia"/>
                <w:sz w:val="24"/>
              </w:rPr>
              <w:t>m³/d，生产废水沉淀时间按2h计，需求容积为3</w:t>
            </w:r>
            <w:r>
              <w:rPr>
                <w:sz w:val="24"/>
              </w:rPr>
              <w:t>0.048</w:t>
            </w:r>
            <w:r>
              <w:rPr>
                <w:rFonts w:hint="eastAsia"/>
                <w:sz w:val="24"/>
              </w:rPr>
              <w:t>m³。本项目设置三级沉淀池容积为</w:t>
            </w:r>
            <w:r>
              <w:rPr>
                <w:sz w:val="24"/>
              </w:rPr>
              <w:t>90</w:t>
            </w:r>
            <w:r>
              <w:rPr>
                <w:rFonts w:hint="eastAsia"/>
                <w:sz w:val="24"/>
              </w:rPr>
              <w:t>m³，运营期生产废水循环使用，故沉淀池设定容积满足生产废水收集暂存需求。</w:t>
            </w:r>
          </w:p>
          <w:p>
            <w:pPr>
              <w:spacing w:line="360" w:lineRule="auto"/>
              <w:ind w:firstLine="480" w:firstLineChars="200"/>
              <w:rPr>
                <w:sz w:val="24"/>
              </w:rPr>
            </w:pPr>
            <w:r>
              <w:rPr>
                <w:rFonts w:hint="eastAsia"/>
                <w:sz w:val="24"/>
              </w:rPr>
              <w:t>经对照《排污许可证申请与核发技术规范-陶瓷砖瓦工业》（HJ</w:t>
            </w:r>
            <w:r>
              <w:rPr>
                <w:sz w:val="24"/>
              </w:rPr>
              <w:t xml:space="preserve"> 954-2018</w:t>
            </w:r>
            <w:r>
              <w:rPr>
                <w:rFonts w:hint="eastAsia"/>
                <w:sz w:val="24"/>
              </w:rPr>
              <w:t>），项目运营期采取的生产废水收集处置技术为其推荐的可行性技术。</w:t>
            </w:r>
          </w:p>
          <w:p>
            <w:pPr>
              <w:jc w:val="center"/>
              <w:rPr>
                <w:b/>
                <w:sz w:val="24"/>
              </w:rPr>
            </w:pPr>
            <w:r>
              <w:rPr>
                <w:rFonts w:hint="eastAsia"/>
                <w:b/>
                <w:sz w:val="24"/>
              </w:rPr>
              <w:t>表4</w:t>
            </w:r>
            <w:r>
              <w:rPr>
                <w:b/>
                <w:sz w:val="24"/>
              </w:rPr>
              <w:t xml:space="preserve">.7-2  </w:t>
            </w:r>
            <w:r>
              <w:rPr>
                <w:rFonts w:hint="eastAsia"/>
                <w:b/>
                <w:sz w:val="24"/>
              </w:rPr>
              <w:t>陶瓷砖瓦工业排污单位废水污染防治可行技术</w:t>
            </w:r>
          </w:p>
          <w:tbl>
            <w:tblPr>
              <w:tblStyle w:val="3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83"/>
              <w:gridCol w:w="1241"/>
              <w:gridCol w:w="820"/>
              <w:gridCol w:w="1320"/>
              <w:gridCol w:w="1486"/>
              <w:gridCol w:w="1315"/>
              <w:gridCol w:w="11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98" w:type="pct"/>
                  <w:vAlign w:val="center"/>
                </w:tcPr>
                <w:p>
                  <w:pPr>
                    <w:jc w:val="center"/>
                    <w:rPr>
                      <w:b/>
                      <w:szCs w:val="21"/>
                    </w:rPr>
                  </w:pPr>
                  <w:r>
                    <w:rPr>
                      <w:rFonts w:hint="eastAsia"/>
                      <w:b/>
                      <w:szCs w:val="21"/>
                    </w:rPr>
                    <w:t>排放形式</w:t>
                  </w:r>
                </w:p>
              </w:tc>
              <w:tc>
                <w:tcPr>
                  <w:tcW w:w="1216" w:type="pct"/>
                  <w:gridSpan w:val="2"/>
                  <w:vAlign w:val="center"/>
                </w:tcPr>
                <w:p>
                  <w:pPr>
                    <w:jc w:val="center"/>
                    <w:rPr>
                      <w:b/>
                      <w:szCs w:val="21"/>
                    </w:rPr>
                  </w:pPr>
                  <w:r>
                    <w:rPr>
                      <w:rFonts w:hint="eastAsia"/>
                      <w:b/>
                      <w:szCs w:val="21"/>
                    </w:rPr>
                    <w:t>类型</w:t>
                  </w:r>
                </w:p>
              </w:tc>
              <w:tc>
                <w:tcPr>
                  <w:tcW w:w="779" w:type="pct"/>
                  <w:vAlign w:val="center"/>
                </w:tcPr>
                <w:p>
                  <w:pPr>
                    <w:jc w:val="center"/>
                    <w:rPr>
                      <w:b/>
                      <w:szCs w:val="21"/>
                    </w:rPr>
                  </w:pPr>
                  <w:r>
                    <w:rPr>
                      <w:rFonts w:hint="eastAsia"/>
                      <w:b/>
                      <w:szCs w:val="21"/>
                    </w:rPr>
                    <w:t>主要污染物</w:t>
                  </w:r>
                </w:p>
              </w:tc>
              <w:tc>
                <w:tcPr>
                  <w:tcW w:w="877" w:type="pct"/>
                  <w:vAlign w:val="center"/>
                </w:tcPr>
                <w:p>
                  <w:pPr>
                    <w:jc w:val="center"/>
                    <w:rPr>
                      <w:b/>
                      <w:szCs w:val="21"/>
                    </w:rPr>
                  </w:pPr>
                  <w:r>
                    <w:rPr>
                      <w:rFonts w:hint="eastAsia"/>
                      <w:b/>
                      <w:szCs w:val="21"/>
                    </w:rPr>
                    <w:t>可行技术</w:t>
                  </w:r>
                </w:p>
              </w:tc>
              <w:tc>
                <w:tcPr>
                  <w:tcW w:w="776" w:type="pct"/>
                  <w:vAlign w:val="center"/>
                </w:tcPr>
                <w:p>
                  <w:pPr>
                    <w:jc w:val="center"/>
                    <w:rPr>
                      <w:b/>
                      <w:szCs w:val="21"/>
                    </w:rPr>
                  </w:pPr>
                  <w:r>
                    <w:rPr>
                      <w:rFonts w:hint="eastAsia"/>
                      <w:b/>
                      <w:szCs w:val="21"/>
                    </w:rPr>
                    <w:t>采取技术</w:t>
                  </w:r>
                </w:p>
              </w:tc>
              <w:tc>
                <w:tcPr>
                  <w:tcW w:w="654" w:type="pct"/>
                  <w:vAlign w:val="center"/>
                </w:tcPr>
                <w:p>
                  <w:pPr>
                    <w:jc w:val="center"/>
                    <w:rPr>
                      <w:b/>
                      <w:szCs w:val="21"/>
                    </w:rPr>
                  </w:pPr>
                  <w:r>
                    <w:rPr>
                      <w:rFonts w:hint="eastAsia"/>
                      <w:b/>
                      <w:szCs w:val="21"/>
                    </w:rPr>
                    <w:t>是否可行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98" w:type="pct"/>
                  <w:vAlign w:val="center"/>
                </w:tcPr>
                <w:p>
                  <w:pPr>
                    <w:jc w:val="center"/>
                    <w:rPr>
                      <w:szCs w:val="21"/>
                    </w:rPr>
                  </w:pPr>
                  <w:r>
                    <w:rPr>
                      <w:rFonts w:hint="eastAsia"/>
                      <w:szCs w:val="21"/>
                    </w:rPr>
                    <w:t>循环回用</w:t>
                  </w:r>
                </w:p>
              </w:tc>
              <w:tc>
                <w:tcPr>
                  <w:tcW w:w="732" w:type="pct"/>
                  <w:vAlign w:val="center"/>
                </w:tcPr>
                <w:p>
                  <w:pPr>
                    <w:jc w:val="center"/>
                    <w:rPr>
                      <w:szCs w:val="21"/>
                    </w:rPr>
                  </w:pPr>
                  <w:r>
                    <w:rPr>
                      <w:rFonts w:hint="eastAsia"/>
                      <w:szCs w:val="21"/>
                    </w:rPr>
                    <w:t>建筑用石加工业</w:t>
                  </w:r>
                </w:p>
              </w:tc>
              <w:tc>
                <w:tcPr>
                  <w:tcW w:w="484" w:type="pct"/>
                  <w:vAlign w:val="center"/>
                </w:tcPr>
                <w:p>
                  <w:pPr>
                    <w:jc w:val="center"/>
                    <w:rPr>
                      <w:szCs w:val="21"/>
                    </w:rPr>
                  </w:pPr>
                  <w:r>
                    <w:rPr>
                      <w:rFonts w:hint="eastAsia"/>
                      <w:szCs w:val="21"/>
                    </w:rPr>
                    <w:t>生产废水</w:t>
                  </w:r>
                </w:p>
              </w:tc>
              <w:tc>
                <w:tcPr>
                  <w:tcW w:w="779" w:type="pct"/>
                  <w:vAlign w:val="center"/>
                </w:tcPr>
                <w:p>
                  <w:pPr>
                    <w:jc w:val="center"/>
                    <w:rPr>
                      <w:szCs w:val="21"/>
                    </w:rPr>
                  </w:pPr>
                  <w:r>
                    <w:rPr>
                      <w:rFonts w:hint="eastAsia"/>
                      <w:szCs w:val="21"/>
                    </w:rPr>
                    <w:t>pH、SS</w:t>
                  </w:r>
                </w:p>
              </w:tc>
              <w:tc>
                <w:tcPr>
                  <w:tcW w:w="877" w:type="pct"/>
                  <w:vAlign w:val="center"/>
                </w:tcPr>
                <w:p>
                  <w:pPr>
                    <w:jc w:val="center"/>
                    <w:rPr>
                      <w:szCs w:val="21"/>
                    </w:rPr>
                  </w:pPr>
                  <w:r>
                    <w:rPr>
                      <w:rFonts w:hint="eastAsia"/>
                      <w:szCs w:val="21"/>
                    </w:rPr>
                    <w:t>均质+絮凝+沉淀</w:t>
                  </w:r>
                </w:p>
              </w:tc>
              <w:tc>
                <w:tcPr>
                  <w:tcW w:w="776" w:type="pct"/>
                  <w:vAlign w:val="center"/>
                </w:tcPr>
                <w:p>
                  <w:pPr>
                    <w:jc w:val="center"/>
                    <w:rPr>
                      <w:szCs w:val="21"/>
                    </w:rPr>
                  </w:pPr>
                  <w:r>
                    <w:rPr>
                      <w:rFonts w:hint="eastAsia"/>
                      <w:szCs w:val="21"/>
                    </w:rPr>
                    <w:t>沉淀池收集场地</w:t>
                  </w:r>
                </w:p>
              </w:tc>
              <w:tc>
                <w:tcPr>
                  <w:tcW w:w="654" w:type="pct"/>
                  <w:vAlign w:val="center"/>
                </w:tcPr>
                <w:p>
                  <w:pPr>
                    <w:jc w:val="center"/>
                    <w:rPr>
                      <w:szCs w:val="21"/>
                    </w:rPr>
                  </w:pPr>
                  <w:r>
                    <w:rPr>
                      <w:rFonts w:hint="eastAsia"/>
                      <w:szCs w:val="21"/>
                    </w:rPr>
                    <w:t>可行</w:t>
                  </w:r>
                </w:p>
              </w:tc>
            </w:tr>
          </w:tbl>
          <w:p>
            <w:pPr>
              <w:pBdr>
                <w:top w:val="none" w:color="auto" w:sz="0" w:space="1"/>
                <w:left w:val="none" w:color="auto" w:sz="0" w:space="4"/>
                <w:bottom w:val="none" w:color="auto" w:sz="0" w:space="1"/>
                <w:right w:val="none" w:color="auto" w:sz="0" w:space="4"/>
              </w:pBdr>
              <w:spacing w:line="360" w:lineRule="auto"/>
              <w:ind w:firstLine="481" w:firstLineChars="200"/>
              <w:rPr>
                <w:b/>
                <w:sz w:val="24"/>
              </w:rPr>
            </w:pPr>
            <w:r>
              <w:rPr>
                <w:rFonts w:hint="eastAsia"/>
                <w:b/>
                <w:sz w:val="24"/>
              </w:rPr>
              <w:t>（3）初期雨水处置措施可行性分析</w:t>
            </w:r>
          </w:p>
          <w:p>
            <w:pPr>
              <w:pBdr>
                <w:top w:val="none" w:color="auto" w:sz="0" w:space="1"/>
                <w:left w:val="none" w:color="auto" w:sz="0" w:space="4"/>
                <w:bottom w:val="none" w:color="auto" w:sz="0" w:space="1"/>
                <w:right w:val="none" w:color="auto" w:sz="0" w:space="4"/>
              </w:pBdr>
              <w:spacing w:line="360" w:lineRule="auto"/>
              <w:ind w:firstLine="480" w:firstLineChars="200"/>
              <w:rPr>
                <w:sz w:val="24"/>
              </w:rPr>
            </w:pPr>
            <w:r>
              <w:rPr>
                <w:rFonts w:hint="eastAsia"/>
                <w:sz w:val="24"/>
              </w:rPr>
              <w:t>项目运营期雨天初期雨水经初期雨水收集池收集沉淀处理后回用于洗砂工段，不外排。项目初期雨水收集池设定容积为3</w:t>
            </w:r>
            <w:r>
              <w:rPr>
                <w:sz w:val="24"/>
              </w:rPr>
              <w:t>0</w:t>
            </w:r>
            <w:r>
              <w:rPr>
                <w:rFonts w:hint="eastAsia"/>
                <w:sz w:val="24"/>
              </w:rPr>
              <w:t>m³，运营期场地初期雨水产生量约4</w:t>
            </w:r>
            <w:r>
              <w:rPr>
                <w:sz w:val="24"/>
              </w:rPr>
              <w:t>.22</w:t>
            </w:r>
            <w:r>
              <w:rPr>
                <w:rFonts w:hint="eastAsia"/>
                <w:sz w:val="24"/>
              </w:rPr>
              <w:t>m³</w:t>
            </w:r>
            <w:r>
              <w:rPr>
                <w:sz w:val="24"/>
              </w:rPr>
              <w:t>/</w:t>
            </w:r>
            <w:r>
              <w:rPr>
                <w:rFonts w:hint="eastAsia"/>
                <w:sz w:val="24"/>
              </w:rPr>
              <w:t>次，初期雨水收集池最多可容纳连续7次降雨的初期雨水量，故初期雨水容积满足雨天初期雨水收集暂存需求。</w:t>
            </w:r>
          </w:p>
          <w:p>
            <w:pPr>
              <w:pBdr>
                <w:top w:val="none" w:color="auto" w:sz="0" w:space="1"/>
                <w:left w:val="none" w:color="auto" w:sz="0" w:space="4"/>
                <w:bottom w:val="none" w:color="auto" w:sz="0" w:space="1"/>
                <w:right w:val="none" w:color="auto" w:sz="0" w:space="4"/>
              </w:pBdr>
              <w:spacing w:line="360" w:lineRule="auto"/>
              <w:ind w:firstLine="480" w:firstLineChars="200"/>
              <w:rPr>
                <w:sz w:val="24"/>
              </w:rPr>
            </w:pPr>
            <w:r>
              <w:rPr>
                <w:rFonts w:hint="eastAsia"/>
                <w:sz w:val="24"/>
              </w:rPr>
              <w:t>项目运营期收集初期雨水中主要污染物为SS，浓度可高达5</w:t>
            </w:r>
            <w:r>
              <w:rPr>
                <w:sz w:val="24"/>
              </w:rPr>
              <w:t>000</w:t>
            </w:r>
            <w:r>
              <w:rPr>
                <w:rFonts w:hint="eastAsia"/>
                <w:sz w:val="24"/>
              </w:rPr>
              <w:t>mg/L。由于项目洗砂工段对用水水质基本无要求，故初期雨水回用于洗砂工段可行。</w:t>
            </w:r>
          </w:p>
          <w:p>
            <w:pPr>
              <w:pStyle w:val="24"/>
              <w:spacing w:line="360" w:lineRule="auto"/>
              <w:rPr>
                <w:b/>
                <w:bCs/>
                <w:sz w:val="24"/>
              </w:rPr>
            </w:pPr>
            <w:r>
              <w:rPr>
                <w:b/>
                <w:bCs/>
                <w:sz w:val="24"/>
              </w:rPr>
              <w:t>4</w:t>
            </w:r>
            <w:r>
              <w:rPr>
                <w:rFonts w:hint="eastAsia"/>
                <w:b/>
                <w:bCs/>
                <w:sz w:val="24"/>
              </w:rPr>
              <w:t>、运行期监测要求</w:t>
            </w:r>
          </w:p>
          <w:p>
            <w:pPr>
              <w:pStyle w:val="41"/>
              <w:spacing w:line="360" w:lineRule="auto"/>
              <w:ind w:firstLine="480" w:firstLineChars="200"/>
              <w:rPr>
                <w:rFonts w:ascii="Times New Roman" w:hAnsi="Times New Roman" w:cs="Times New Roman"/>
                <w:color w:val="auto"/>
              </w:rPr>
            </w:pPr>
            <w:r>
              <w:rPr>
                <w:rFonts w:hint="eastAsia" w:ascii="Times New Roman" w:hAnsi="Times New Roman" w:cs="Times New Roman"/>
                <w:color w:val="auto"/>
              </w:rPr>
              <w:t>项目运行期废水均合理收集后回用，不外排，根据《排污单位自行监测技术指南 总则》（HJ819-2017），项目运行期废水不作废水监测要求。</w:t>
            </w:r>
          </w:p>
          <w:p>
            <w:pPr>
              <w:pStyle w:val="41"/>
              <w:spacing w:line="360" w:lineRule="auto"/>
              <w:rPr>
                <w:rFonts w:ascii="Times New Roman" w:hAnsi="Times New Roman" w:cs="Times New Roman"/>
                <w:b/>
                <w:bCs/>
                <w:color w:val="auto"/>
                <w:kern w:val="2"/>
              </w:rPr>
            </w:pPr>
            <w:r>
              <w:rPr>
                <w:rFonts w:ascii="Times New Roman" w:hAnsi="Times New Roman" w:cs="Times New Roman"/>
                <w:b/>
                <w:bCs/>
                <w:color w:val="auto"/>
                <w:kern w:val="2"/>
              </w:rPr>
              <w:t>5</w:t>
            </w:r>
            <w:r>
              <w:rPr>
                <w:rFonts w:hint="eastAsia" w:ascii="Times New Roman" w:hAnsi="Times New Roman" w:cs="Times New Roman"/>
                <w:b/>
                <w:bCs/>
                <w:color w:val="auto"/>
                <w:kern w:val="2"/>
              </w:rPr>
              <w:t>、地表水环境影响结论</w:t>
            </w:r>
          </w:p>
          <w:p>
            <w:pPr>
              <w:pBdr>
                <w:top w:val="none" w:color="auto" w:sz="0" w:space="1"/>
                <w:left w:val="none" w:color="auto" w:sz="0" w:space="4"/>
                <w:bottom w:val="none" w:color="auto" w:sz="0" w:space="1"/>
                <w:right w:val="none" w:color="auto" w:sz="0" w:space="4"/>
              </w:pBdr>
              <w:spacing w:line="360" w:lineRule="auto"/>
              <w:ind w:firstLine="480" w:firstLineChars="200"/>
              <w:rPr>
                <w:sz w:val="24"/>
              </w:rPr>
            </w:pPr>
            <w:r>
              <w:rPr>
                <w:rFonts w:hint="eastAsia"/>
                <w:sz w:val="24"/>
              </w:rPr>
              <w:t>项目运营期生活污水经化粪池收集沉淀处理后于清水池内收集，回用于洗砂工段，不外排；生产废水（洗砂废水、车辆清洗废水）经三级沉淀池收集场地处理后于清水池内暂存，循环利用于洗砂工段，不外排。经对比《排污许可证申请与核发技术规范-陶瓷砖瓦工业》（HJ</w:t>
            </w:r>
            <w:r>
              <w:rPr>
                <w:sz w:val="24"/>
              </w:rPr>
              <w:t xml:space="preserve"> 954-2018</w:t>
            </w:r>
            <w:r>
              <w:rPr>
                <w:rFonts w:hint="eastAsia"/>
                <w:sz w:val="24"/>
              </w:rPr>
              <w:t>），生产废水经沉淀后循环利用属可行性技术；雨天初期雨水经初期雨水收集池收集场地处理后回用于洗砂工段，不外排。由于项目洗砂工段对用水水质基本无要求，故初期雨水回用于洗砂工段可行。</w:t>
            </w:r>
          </w:p>
          <w:p>
            <w:pPr>
              <w:pStyle w:val="24"/>
              <w:pBdr>
                <w:top w:val="none" w:color="auto" w:sz="0" w:space="0"/>
                <w:left w:val="none" w:color="auto" w:sz="0" w:space="0"/>
                <w:bottom w:val="none" w:color="auto" w:sz="0" w:space="0"/>
                <w:right w:val="none" w:color="auto" w:sz="0" w:space="0"/>
              </w:pBdr>
              <w:spacing w:line="360" w:lineRule="auto"/>
              <w:ind w:firstLine="480" w:firstLineChars="200"/>
              <w:rPr>
                <w:sz w:val="24"/>
              </w:rPr>
            </w:pPr>
            <w:r>
              <w:rPr>
                <w:rFonts w:hint="eastAsia"/>
                <w:sz w:val="24"/>
              </w:rPr>
              <w:t>综上，项目运营期生产生活污水经合理收集后回用，不外排，故项目不向外环境设置废水排放口，不会直接增加区域地表水体（澜沧江）污染负荷，对区域地表水环境基本无影响。</w:t>
            </w:r>
          </w:p>
          <w:p>
            <w:pPr>
              <w:spacing w:line="360" w:lineRule="auto"/>
              <w:rPr>
                <w:rFonts w:ascii="黑体" w:hAnsi="黑体" w:eastAsia="黑体"/>
                <w:b/>
                <w:bCs/>
                <w:kern w:val="0"/>
                <w:sz w:val="24"/>
              </w:rPr>
            </w:pPr>
            <w:r>
              <w:rPr>
                <w:rFonts w:hint="eastAsia" w:ascii="黑体" w:hAnsi="黑体" w:eastAsia="黑体"/>
                <w:b/>
                <w:bCs/>
                <w:kern w:val="0"/>
                <w:sz w:val="24"/>
              </w:rPr>
              <w:t>（八）运营期</w:t>
            </w:r>
            <w:r>
              <w:rPr>
                <w:rFonts w:ascii="黑体" w:hAnsi="黑体" w:eastAsia="黑体"/>
                <w:b/>
                <w:bCs/>
                <w:kern w:val="0"/>
                <w:sz w:val="24"/>
              </w:rPr>
              <w:t>声环境影响和保护措施</w:t>
            </w:r>
          </w:p>
          <w:p>
            <w:pPr>
              <w:pStyle w:val="13"/>
              <w:spacing w:line="360" w:lineRule="auto"/>
              <w:ind w:firstLine="0"/>
              <w:jc w:val="left"/>
              <w:rPr>
                <w:b/>
                <w:bCs/>
              </w:rPr>
            </w:pPr>
            <w:r>
              <w:rPr>
                <w:b/>
                <w:bCs/>
              </w:rPr>
              <w:t>1、噪声源强分析</w:t>
            </w:r>
          </w:p>
          <w:p>
            <w:pPr>
              <w:pStyle w:val="13"/>
              <w:spacing w:line="360" w:lineRule="auto"/>
              <w:ind w:firstLine="480" w:firstLineChars="200"/>
              <w:jc w:val="left"/>
            </w:pPr>
            <w:r>
              <w:t>项目营运期主要噪声源来自于</w:t>
            </w:r>
            <w:r>
              <w:rPr>
                <w:rFonts w:hint="eastAsia"/>
              </w:rPr>
              <w:t>给料机、皮带机以及破碎筛设备</w:t>
            </w:r>
            <w:r>
              <w:t>，设备噪声源强具体</w:t>
            </w:r>
            <w:r>
              <w:rPr>
                <w:rFonts w:hint="eastAsia"/>
              </w:rPr>
              <w:t>如下：</w:t>
            </w:r>
          </w:p>
          <w:p>
            <w:pPr>
              <w:pStyle w:val="13"/>
              <w:spacing w:line="240" w:lineRule="auto"/>
              <w:ind w:firstLine="0"/>
              <w:jc w:val="center"/>
              <w:rPr>
                <w:b/>
                <w:bCs/>
              </w:rPr>
            </w:pPr>
            <w:r>
              <w:rPr>
                <w:b/>
                <w:bCs/>
              </w:rPr>
              <w:t>表4.8-1  项目主要噪声源噪声级</w:t>
            </w:r>
          </w:p>
          <w:tbl>
            <w:tblPr>
              <w:tblStyle w:val="3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60"/>
              <w:gridCol w:w="724"/>
              <w:gridCol w:w="927"/>
              <w:gridCol w:w="1173"/>
              <w:gridCol w:w="1173"/>
              <w:gridCol w:w="1173"/>
              <w:gridCol w:w="15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42" w:type="pct"/>
                  <w:vAlign w:val="center"/>
                </w:tcPr>
                <w:p>
                  <w:pPr>
                    <w:pStyle w:val="13"/>
                    <w:spacing w:line="240" w:lineRule="auto"/>
                    <w:ind w:firstLine="0"/>
                    <w:jc w:val="center"/>
                    <w:rPr>
                      <w:b/>
                      <w:bCs/>
                      <w:sz w:val="21"/>
                      <w:szCs w:val="21"/>
                    </w:rPr>
                  </w:pPr>
                  <w:bookmarkStart w:id="54" w:name="_Hlk139567663"/>
                  <w:r>
                    <w:rPr>
                      <w:b/>
                      <w:bCs/>
                      <w:sz w:val="21"/>
                      <w:szCs w:val="21"/>
                    </w:rPr>
                    <w:t>噪声设备</w:t>
                  </w:r>
                </w:p>
              </w:tc>
              <w:tc>
                <w:tcPr>
                  <w:tcW w:w="431" w:type="pct"/>
                  <w:vAlign w:val="center"/>
                </w:tcPr>
                <w:p>
                  <w:pPr>
                    <w:pStyle w:val="13"/>
                    <w:spacing w:line="240" w:lineRule="auto"/>
                    <w:ind w:firstLine="0"/>
                    <w:jc w:val="center"/>
                    <w:rPr>
                      <w:b/>
                      <w:bCs/>
                      <w:sz w:val="21"/>
                      <w:szCs w:val="21"/>
                    </w:rPr>
                  </w:pPr>
                  <w:r>
                    <w:rPr>
                      <w:b/>
                      <w:bCs/>
                      <w:sz w:val="21"/>
                      <w:szCs w:val="21"/>
                    </w:rPr>
                    <w:t>数量</w:t>
                  </w:r>
                </w:p>
              </w:tc>
              <w:tc>
                <w:tcPr>
                  <w:tcW w:w="528" w:type="pct"/>
                  <w:vAlign w:val="center"/>
                </w:tcPr>
                <w:p>
                  <w:pPr>
                    <w:pStyle w:val="13"/>
                    <w:spacing w:line="240" w:lineRule="auto"/>
                    <w:ind w:firstLine="0"/>
                    <w:jc w:val="center"/>
                    <w:rPr>
                      <w:b/>
                      <w:bCs/>
                      <w:sz w:val="21"/>
                      <w:szCs w:val="21"/>
                    </w:rPr>
                  </w:pPr>
                  <w:r>
                    <w:rPr>
                      <w:b/>
                      <w:bCs/>
                      <w:sz w:val="21"/>
                      <w:szCs w:val="21"/>
                    </w:rPr>
                    <w:t>声压级</w:t>
                  </w:r>
                </w:p>
              </w:tc>
              <w:tc>
                <w:tcPr>
                  <w:tcW w:w="695" w:type="pct"/>
                  <w:vAlign w:val="center"/>
                </w:tcPr>
                <w:p>
                  <w:pPr>
                    <w:pStyle w:val="13"/>
                    <w:spacing w:line="240" w:lineRule="auto"/>
                    <w:ind w:firstLine="0"/>
                    <w:jc w:val="center"/>
                    <w:rPr>
                      <w:b/>
                      <w:bCs/>
                      <w:sz w:val="21"/>
                      <w:szCs w:val="21"/>
                    </w:rPr>
                  </w:pPr>
                  <w:r>
                    <w:rPr>
                      <w:b/>
                      <w:bCs/>
                      <w:sz w:val="21"/>
                      <w:szCs w:val="21"/>
                    </w:rPr>
                    <w:t>噪声类型</w:t>
                  </w:r>
                </w:p>
              </w:tc>
              <w:tc>
                <w:tcPr>
                  <w:tcW w:w="695" w:type="pct"/>
                  <w:vAlign w:val="center"/>
                </w:tcPr>
                <w:p>
                  <w:pPr>
                    <w:pStyle w:val="13"/>
                    <w:spacing w:line="240" w:lineRule="auto"/>
                    <w:ind w:firstLine="0"/>
                    <w:jc w:val="center"/>
                    <w:rPr>
                      <w:b/>
                      <w:bCs/>
                      <w:sz w:val="21"/>
                      <w:szCs w:val="21"/>
                    </w:rPr>
                  </w:pPr>
                  <w:r>
                    <w:rPr>
                      <w:b/>
                      <w:bCs/>
                      <w:sz w:val="21"/>
                      <w:szCs w:val="21"/>
                    </w:rPr>
                    <w:t>声学特点</w:t>
                  </w:r>
                </w:p>
              </w:tc>
              <w:tc>
                <w:tcPr>
                  <w:tcW w:w="695" w:type="pct"/>
                  <w:vAlign w:val="center"/>
                </w:tcPr>
                <w:p>
                  <w:pPr>
                    <w:pStyle w:val="13"/>
                    <w:spacing w:line="240" w:lineRule="auto"/>
                    <w:ind w:firstLine="0"/>
                    <w:jc w:val="center"/>
                    <w:rPr>
                      <w:b/>
                      <w:bCs/>
                      <w:sz w:val="21"/>
                      <w:szCs w:val="21"/>
                    </w:rPr>
                  </w:pPr>
                  <w:r>
                    <w:rPr>
                      <w:b/>
                      <w:bCs/>
                      <w:sz w:val="21"/>
                      <w:szCs w:val="21"/>
                    </w:rPr>
                    <w:t>治理措施</w:t>
                  </w:r>
                </w:p>
              </w:tc>
              <w:tc>
                <w:tcPr>
                  <w:tcW w:w="914" w:type="pct"/>
                  <w:vAlign w:val="center"/>
                </w:tcPr>
                <w:p>
                  <w:pPr>
                    <w:pStyle w:val="13"/>
                    <w:spacing w:line="240" w:lineRule="auto"/>
                    <w:ind w:firstLine="0"/>
                    <w:jc w:val="center"/>
                    <w:rPr>
                      <w:b/>
                      <w:bCs/>
                      <w:sz w:val="21"/>
                      <w:szCs w:val="21"/>
                    </w:rPr>
                  </w:pPr>
                  <w:r>
                    <w:rPr>
                      <w:b/>
                      <w:bCs/>
                      <w:sz w:val="21"/>
                      <w:szCs w:val="21"/>
                    </w:rPr>
                    <w:t>治理后声压级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42" w:type="pct"/>
                  <w:vAlign w:val="center"/>
                </w:tcPr>
                <w:p>
                  <w:pPr>
                    <w:pStyle w:val="13"/>
                    <w:spacing w:line="240" w:lineRule="auto"/>
                    <w:ind w:firstLine="0"/>
                    <w:jc w:val="center"/>
                    <w:rPr>
                      <w:bCs/>
                      <w:sz w:val="21"/>
                      <w:szCs w:val="21"/>
                    </w:rPr>
                  </w:pPr>
                  <w:r>
                    <w:rPr>
                      <w:sz w:val="21"/>
                      <w:szCs w:val="21"/>
                    </w:rPr>
                    <w:t>三相异步电动机</w:t>
                  </w:r>
                </w:p>
              </w:tc>
              <w:tc>
                <w:tcPr>
                  <w:tcW w:w="431" w:type="pct"/>
                  <w:vAlign w:val="center"/>
                </w:tcPr>
                <w:p>
                  <w:pPr>
                    <w:pStyle w:val="13"/>
                    <w:spacing w:line="240" w:lineRule="auto"/>
                    <w:ind w:firstLine="0"/>
                    <w:jc w:val="center"/>
                    <w:rPr>
                      <w:bCs/>
                      <w:sz w:val="21"/>
                      <w:szCs w:val="21"/>
                    </w:rPr>
                  </w:pPr>
                  <w:r>
                    <w:rPr>
                      <w:b/>
                      <w:bCs/>
                      <w:sz w:val="21"/>
                      <w:szCs w:val="21"/>
                    </w:rPr>
                    <w:t>1</w:t>
                  </w:r>
                </w:p>
              </w:tc>
              <w:tc>
                <w:tcPr>
                  <w:tcW w:w="528" w:type="pct"/>
                  <w:vAlign w:val="center"/>
                </w:tcPr>
                <w:p>
                  <w:pPr>
                    <w:pStyle w:val="13"/>
                    <w:spacing w:line="240" w:lineRule="auto"/>
                    <w:ind w:firstLine="0"/>
                    <w:jc w:val="center"/>
                    <w:rPr>
                      <w:bCs/>
                      <w:sz w:val="21"/>
                      <w:szCs w:val="21"/>
                    </w:rPr>
                  </w:pPr>
                  <w:r>
                    <w:rPr>
                      <w:sz w:val="21"/>
                      <w:szCs w:val="21"/>
                    </w:rPr>
                    <w:t>85~90</w:t>
                  </w:r>
                </w:p>
              </w:tc>
              <w:tc>
                <w:tcPr>
                  <w:tcW w:w="695" w:type="pct"/>
                  <w:vAlign w:val="center"/>
                </w:tcPr>
                <w:p>
                  <w:pPr>
                    <w:pStyle w:val="13"/>
                    <w:spacing w:line="240" w:lineRule="auto"/>
                    <w:ind w:firstLine="0"/>
                    <w:jc w:val="center"/>
                    <w:rPr>
                      <w:bCs/>
                      <w:sz w:val="21"/>
                      <w:szCs w:val="21"/>
                    </w:rPr>
                  </w:pPr>
                  <w:r>
                    <w:rPr>
                      <w:bCs/>
                      <w:sz w:val="21"/>
                      <w:szCs w:val="21"/>
                    </w:rPr>
                    <w:t>机械性</w:t>
                  </w:r>
                </w:p>
              </w:tc>
              <w:tc>
                <w:tcPr>
                  <w:tcW w:w="695" w:type="pct"/>
                  <w:vAlign w:val="center"/>
                </w:tcPr>
                <w:p>
                  <w:pPr>
                    <w:pStyle w:val="13"/>
                    <w:spacing w:line="240" w:lineRule="auto"/>
                    <w:ind w:firstLine="0"/>
                    <w:jc w:val="center"/>
                    <w:rPr>
                      <w:bCs/>
                      <w:sz w:val="21"/>
                      <w:szCs w:val="21"/>
                    </w:rPr>
                  </w:pPr>
                  <w:r>
                    <w:rPr>
                      <w:bCs/>
                      <w:sz w:val="21"/>
                      <w:szCs w:val="21"/>
                    </w:rPr>
                    <w:t>连续</w:t>
                  </w:r>
                </w:p>
              </w:tc>
              <w:tc>
                <w:tcPr>
                  <w:tcW w:w="695" w:type="pct"/>
                  <w:vMerge w:val="restart"/>
                  <w:vAlign w:val="center"/>
                </w:tcPr>
                <w:p>
                  <w:pPr>
                    <w:pStyle w:val="13"/>
                    <w:spacing w:line="240" w:lineRule="auto"/>
                    <w:ind w:firstLine="0"/>
                    <w:jc w:val="center"/>
                    <w:rPr>
                      <w:bCs/>
                      <w:sz w:val="21"/>
                      <w:szCs w:val="21"/>
                    </w:rPr>
                  </w:pPr>
                  <w:r>
                    <w:rPr>
                      <w:bCs/>
                      <w:sz w:val="21"/>
                      <w:szCs w:val="21"/>
                    </w:rPr>
                    <w:t>基础减震、四周围挡、加减震垫</w:t>
                  </w:r>
                </w:p>
              </w:tc>
              <w:tc>
                <w:tcPr>
                  <w:tcW w:w="914" w:type="pct"/>
                  <w:vAlign w:val="center"/>
                </w:tcPr>
                <w:p>
                  <w:pPr>
                    <w:pStyle w:val="13"/>
                    <w:spacing w:line="240" w:lineRule="auto"/>
                    <w:ind w:firstLine="0"/>
                    <w:jc w:val="center"/>
                    <w:rPr>
                      <w:bCs/>
                      <w:sz w:val="21"/>
                      <w:szCs w:val="21"/>
                    </w:rPr>
                  </w:pPr>
                  <w:r>
                    <w:rPr>
                      <w:sz w:val="21"/>
                      <w:szCs w:val="21"/>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42" w:type="pct"/>
                  <w:vAlign w:val="center"/>
                </w:tcPr>
                <w:p>
                  <w:pPr>
                    <w:pStyle w:val="13"/>
                    <w:spacing w:line="240" w:lineRule="auto"/>
                    <w:ind w:firstLine="0"/>
                    <w:jc w:val="center"/>
                    <w:rPr>
                      <w:bCs/>
                      <w:sz w:val="21"/>
                      <w:szCs w:val="21"/>
                    </w:rPr>
                  </w:pPr>
                  <w:r>
                    <w:rPr>
                      <w:sz w:val="21"/>
                      <w:szCs w:val="21"/>
                    </w:rPr>
                    <w:t>振动给料机</w:t>
                  </w:r>
                </w:p>
              </w:tc>
              <w:tc>
                <w:tcPr>
                  <w:tcW w:w="431" w:type="pct"/>
                  <w:vAlign w:val="center"/>
                </w:tcPr>
                <w:p>
                  <w:pPr>
                    <w:pStyle w:val="13"/>
                    <w:spacing w:line="240" w:lineRule="auto"/>
                    <w:ind w:firstLine="0"/>
                    <w:jc w:val="center"/>
                    <w:rPr>
                      <w:bCs/>
                      <w:sz w:val="21"/>
                      <w:szCs w:val="21"/>
                    </w:rPr>
                  </w:pPr>
                  <w:r>
                    <w:rPr>
                      <w:sz w:val="21"/>
                      <w:szCs w:val="21"/>
                    </w:rPr>
                    <w:t>2</w:t>
                  </w:r>
                </w:p>
              </w:tc>
              <w:tc>
                <w:tcPr>
                  <w:tcW w:w="528" w:type="pct"/>
                  <w:vAlign w:val="center"/>
                </w:tcPr>
                <w:p>
                  <w:pPr>
                    <w:pStyle w:val="13"/>
                    <w:spacing w:line="240" w:lineRule="auto"/>
                    <w:ind w:firstLine="0"/>
                    <w:jc w:val="center"/>
                    <w:rPr>
                      <w:bCs/>
                      <w:sz w:val="21"/>
                      <w:szCs w:val="21"/>
                    </w:rPr>
                  </w:pPr>
                  <w:r>
                    <w:rPr>
                      <w:sz w:val="21"/>
                      <w:szCs w:val="21"/>
                    </w:rPr>
                    <w:t>80~85</w:t>
                  </w:r>
                </w:p>
              </w:tc>
              <w:tc>
                <w:tcPr>
                  <w:tcW w:w="695" w:type="pct"/>
                  <w:vAlign w:val="center"/>
                </w:tcPr>
                <w:p>
                  <w:pPr>
                    <w:pStyle w:val="13"/>
                    <w:spacing w:line="240" w:lineRule="auto"/>
                    <w:ind w:firstLine="0"/>
                    <w:jc w:val="center"/>
                    <w:rPr>
                      <w:bCs/>
                      <w:sz w:val="21"/>
                      <w:szCs w:val="21"/>
                    </w:rPr>
                  </w:pPr>
                  <w:r>
                    <w:rPr>
                      <w:bCs/>
                      <w:sz w:val="21"/>
                      <w:szCs w:val="21"/>
                    </w:rPr>
                    <w:t>机械性</w:t>
                  </w:r>
                </w:p>
              </w:tc>
              <w:tc>
                <w:tcPr>
                  <w:tcW w:w="695" w:type="pct"/>
                  <w:vAlign w:val="center"/>
                </w:tcPr>
                <w:p>
                  <w:pPr>
                    <w:pStyle w:val="13"/>
                    <w:spacing w:line="240" w:lineRule="auto"/>
                    <w:ind w:firstLine="0"/>
                    <w:jc w:val="center"/>
                    <w:rPr>
                      <w:bCs/>
                      <w:sz w:val="21"/>
                      <w:szCs w:val="21"/>
                    </w:rPr>
                  </w:pPr>
                  <w:r>
                    <w:rPr>
                      <w:bCs/>
                      <w:sz w:val="21"/>
                      <w:szCs w:val="21"/>
                    </w:rPr>
                    <w:t>连续</w:t>
                  </w:r>
                </w:p>
              </w:tc>
              <w:tc>
                <w:tcPr>
                  <w:tcW w:w="695" w:type="pct"/>
                  <w:vMerge w:val="continue"/>
                  <w:vAlign w:val="center"/>
                </w:tcPr>
                <w:p>
                  <w:pPr>
                    <w:pStyle w:val="13"/>
                    <w:spacing w:line="240" w:lineRule="auto"/>
                    <w:ind w:firstLine="0"/>
                    <w:jc w:val="center"/>
                    <w:rPr>
                      <w:bCs/>
                      <w:sz w:val="21"/>
                      <w:szCs w:val="21"/>
                    </w:rPr>
                  </w:pPr>
                </w:p>
              </w:tc>
              <w:tc>
                <w:tcPr>
                  <w:tcW w:w="914" w:type="pct"/>
                  <w:vAlign w:val="center"/>
                </w:tcPr>
                <w:p>
                  <w:pPr>
                    <w:pStyle w:val="13"/>
                    <w:spacing w:line="240" w:lineRule="auto"/>
                    <w:ind w:firstLine="0"/>
                    <w:jc w:val="center"/>
                    <w:rPr>
                      <w:bCs/>
                      <w:sz w:val="21"/>
                      <w:szCs w:val="21"/>
                    </w:rPr>
                  </w:pPr>
                  <w:r>
                    <w:rPr>
                      <w:sz w:val="21"/>
                      <w:szCs w:val="21"/>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042" w:type="pct"/>
                  <w:vAlign w:val="center"/>
                </w:tcPr>
                <w:p>
                  <w:pPr>
                    <w:pStyle w:val="13"/>
                    <w:spacing w:line="240" w:lineRule="auto"/>
                    <w:ind w:firstLine="0"/>
                    <w:jc w:val="center"/>
                    <w:rPr>
                      <w:bCs/>
                      <w:sz w:val="21"/>
                      <w:szCs w:val="21"/>
                    </w:rPr>
                  </w:pPr>
                  <w:r>
                    <w:rPr>
                      <w:sz w:val="21"/>
                      <w:szCs w:val="21"/>
                    </w:rPr>
                    <w:t>颚式破碎机</w:t>
                  </w:r>
                </w:p>
              </w:tc>
              <w:tc>
                <w:tcPr>
                  <w:tcW w:w="431" w:type="pct"/>
                  <w:vAlign w:val="center"/>
                </w:tcPr>
                <w:p>
                  <w:pPr>
                    <w:pStyle w:val="13"/>
                    <w:spacing w:line="240" w:lineRule="auto"/>
                    <w:ind w:firstLine="0"/>
                    <w:jc w:val="center"/>
                    <w:rPr>
                      <w:bCs/>
                      <w:sz w:val="21"/>
                      <w:szCs w:val="21"/>
                    </w:rPr>
                  </w:pPr>
                  <w:r>
                    <w:rPr>
                      <w:sz w:val="21"/>
                      <w:szCs w:val="21"/>
                    </w:rPr>
                    <w:t>1</w:t>
                  </w:r>
                </w:p>
              </w:tc>
              <w:tc>
                <w:tcPr>
                  <w:tcW w:w="528" w:type="pct"/>
                  <w:vAlign w:val="center"/>
                </w:tcPr>
                <w:p>
                  <w:pPr>
                    <w:pStyle w:val="13"/>
                    <w:spacing w:line="240" w:lineRule="auto"/>
                    <w:ind w:firstLine="0"/>
                    <w:jc w:val="center"/>
                    <w:rPr>
                      <w:bCs/>
                      <w:sz w:val="21"/>
                      <w:szCs w:val="21"/>
                    </w:rPr>
                  </w:pPr>
                  <w:r>
                    <w:rPr>
                      <w:sz w:val="21"/>
                      <w:szCs w:val="21"/>
                    </w:rPr>
                    <w:t>90~95</w:t>
                  </w:r>
                </w:p>
              </w:tc>
              <w:tc>
                <w:tcPr>
                  <w:tcW w:w="695" w:type="pct"/>
                  <w:vAlign w:val="center"/>
                </w:tcPr>
                <w:p>
                  <w:pPr>
                    <w:pStyle w:val="13"/>
                    <w:spacing w:line="240" w:lineRule="auto"/>
                    <w:ind w:firstLine="0"/>
                    <w:jc w:val="center"/>
                    <w:rPr>
                      <w:bCs/>
                      <w:sz w:val="21"/>
                      <w:szCs w:val="21"/>
                    </w:rPr>
                  </w:pPr>
                  <w:r>
                    <w:rPr>
                      <w:bCs/>
                      <w:sz w:val="21"/>
                      <w:szCs w:val="21"/>
                    </w:rPr>
                    <w:t>机械性</w:t>
                  </w:r>
                </w:p>
              </w:tc>
              <w:tc>
                <w:tcPr>
                  <w:tcW w:w="695" w:type="pct"/>
                  <w:vAlign w:val="center"/>
                </w:tcPr>
                <w:p>
                  <w:pPr>
                    <w:pStyle w:val="13"/>
                    <w:spacing w:line="240" w:lineRule="auto"/>
                    <w:ind w:firstLine="0"/>
                    <w:jc w:val="center"/>
                    <w:rPr>
                      <w:bCs/>
                      <w:sz w:val="21"/>
                      <w:szCs w:val="21"/>
                    </w:rPr>
                  </w:pPr>
                  <w:r>
                    <w:rPr>
                      <w:bCs/>
                      <w:sz w:val="21"/>
                      <w:szCs w:val="21"/>
                    </w:rPr>
                    <w:t>连续</w:t>
                  </w:r>
                </w:p>
              </w:tc>
              <w:tc>
                <w:tcPr>
                  <w:tcW w:w="695" w:type="pct"/>
                  <w:vMerge w:val="continue"/>
                  <w:vAlign w:val="center"/>
                </w:tcPr>
                <w:p>
                  <w:pPr>
                    <w:pStyle w:val="13"/>
                    <w:spacing w:line="240" w:lineRule="auto"/>
                    <w:ind w:firstLine="0"/>
                    <w:jc w:val="center"/>
                    <w:rPr>
                      <w:bCs/>
                      <w:sz w:val="21"/>
                      <w:szCs w:val="21"/>
                    </w:rPr>
                  </w:pPr>
                </w:p>
              </w:tc>
              <w:tc>
                <w:tcPr>
                  <w:tcW w:w="914" w:type="pct"/>
                  <w:vAlign w:val="center"/>
                </w:tcPr>
                <w:p>
                  <w:pPr>
                    <w:pStyle w:val="13"/>
                    <w:spacing w:line="240" w:lineRule="auto"/>
                    <w:ind w:firstLine="0"/>
                    <w:jc w:val="center"/>
                    <w:rPr>
                      <w:bCs/>
                      <w:sz w:val="21"/>
                      <w:szCs w:val="21"/>
                    </w:rPr>
                  </w:pPr>
                  <w:r>
                    <w:rPr>
                      <w:sz w:val="21"/>
                      <w:szCs w:val="21"/>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42" w:type="pct"/>
                  <w:vAlign w:val="center"/>
                </w:tcPr>
                <w:p>
                  <w:pPr>
                    <w:pStyle w:val="13"/>
                    <w:spacing w:line="240" w:lineRule="auto"/>
                    <w:ind w:firstLine="0"/>
                    <w:jc w:val="center"/>
                    <w:rPr>
                      <w:bCs/>
                      <w:sz w:val="21"/>
                      <w:szCs w:val="21"/>
                    </w:rPr>
                  </w:pPr>
                  <w:r>
                    <w:rPr>
                      <w:sz w:val="21"/>
                      <w:szCs w:val="21"/>
                    </w:rPr>
                    <w:t>圆锥破碎机</w:t>
                  </w:r>
                </w:p>
              </w:tc>
              <w:tc>
                <w:tcPr>
                  <w:tcW w:w="431" w:type="pct"/>
                  <w:vAlign w:val="center"/>
                </w:tcPr>
                <w:p>
                  <w:pPr>
                    <w:pStyle w:val="13"/>
                    <w:spacing w:line="240" w:lineRule="auto"/>
                    <w:ind w:firstLine="0"/>
                    <w:jc w:val="center"/>
                    <w:rPr>
                      <w:bCs/>
                      <w:sz w:val="21"/>
                      <w:szCs w:val="21"/>
                    </w:rPr>
                  </w:pPr>
                  <w:r>
                    <w:rPr>
                      <w:snapToGrid w:val="0"/>
                      <w:spacing w:val="-2"/>
                      <w:sz w:val="21"/>
                      <w:szCs w:val="21"/>
                    </w:rPr>
                    <w:t>1</w:t>
                  </w:r>
                </w:p>
              </w:tc>
              <w:tc>
                <w:tcPr>
                  <w:tcW w:w="528" w:type="pct"/>
                  <w:vAlign w:val="center"/>
                </w:tcPr>
                <w:p>
                  <w:pPr>
                    <w:pStyle w:val="13"/>
                    <w:spacing w:line="240" w:lineRule="auto"/>
                    <w:ind w:firstLine="0"/>
                    <w:jc w:val="center"/>
                    <w:rPr>
                      <w:bCs/>
                      <w:sz w:val="21"/>
                      <w:szCs w:val="21"/>
                    </w:rPr>
                  </w:pPr>
                  <w:r>
                    <w:rPr>
                      <w:sz w:val="21"/>
                      <w:szCs w:val="21"/>
                    </w:rPr>
                    <w:t>90~95</w:t>
                  </w:r>
                </w:p>
              </w:tc>
              <w:tc>
                <w:tcPr>
                  <w:tcW w:w="695" w:type="pct"/>
                  <w:vAlign w:val="center"/>
                </w:tcPr>
                <w:p>
                  <w:pPr>
                    <w:pStyle w:val="13"/>
                    <w:spacing w:line="240" w:lineRule="auto"/>
                    <w:ind w:firstLine="0"/>
                    <w:jc w:val="center"/>
                    <w:rPr>
                      <w:bCs/>
                      <w:sz w:val="21"/>
                      <w:szCs w:val="21"/>
                    </w:rPr>
                  </w:pPr>
                  <w:r>
                    <w:rPr>
                      <w:bCs/>
                      <w:sz w:val="21"/>
                      <w:szCs w:val="21"/>
                    </w:rPr>
                    <w:t>机械性</w:t>
                  </w:r>
                </w:p>
              </w:tc>
              <w:tc>
                <w:tcPr>
                  <w:tcW w:w="695" w:type="pct"/>
                  <w:vAlign w:val="center"/>
                </w:tcPr>
                <w:p>
                  <w:pPr>
                    <w:pStyle w:val="13"/>
                    <w:spacing w:line="240" w:lineRule="auto"/>
                    <w:ind w:firstLine="0"/>
                    <w:jc w:val="center"/>
                    <w:rPr>
                      <w:bCs/>
                      <w:sz w:val="21"/>
                      <w:szCs w:val="21"/>
                    </w:rPr>
                  </w:pPr>
                  <w:r>
                    <w:rPr>
                      <w:bCs/>
                      <w:sz w:val="21"/>
                      <w:szCs w:val="21"/>
                    </w:rPr>
                    <w:t>连续</w:t>
                  </w:r>
                </w:p>
              </w:tc>
              <w:tc>
                <w:tcPr>
                  <w:tcW w:w="695" w:type="pct"/>
                  <w:vMerge w:val="continue"/>
                  <w:vAlign w:val="center"/>
                </w:tcPr>
                <w:p>
                  <w:pPr>
                    <w:pStyle w:val="13"/>
                    <w:spacing w:line="240" w:lineRule="auto"/>
                    <w:ind w:firstLine="0"/>
                    <w:jc w:val="center"/>
                    <w:rPr>
                      <w:bCs/>
                      <w:sz w:val="21"/>
                      <w:szCs w:val="21"/>
                    </w:rPr>
                  </w:pPr>
                </w:p>
              </w:tc>
              <w:tc>
                <w:tcPr>
                  <w:tcW w:w="914" w:type="pct"/>
                  <w:vAlign w:val="center"/>
                </w:tcPr>
                <w:p>
                  <w:pPr>
                    <w:pStyle w:val="13"/>
                    <w:spacing w:line="240" w:lineRule="auto"/>
                    <w:ind w:firstLine="0"/>
                    <w:jc w:val="center"/>
                    <w:rPr>
                      <w:bCs/>
                      <w:sz w:val="21"/>
                      <w:szCs w:val="21"/>
                    </w:rPr>
                  </w:pPr>
                  <w:r>
                    <w:rPr>
                      <w:sz w:val="21"/>
                      <w:szCs w:val="21"/>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42" w:type="pct"/>
                  <w:vAlign w:val="center"/>
                </w:tcPr>
                <w:p>
                  <w:pPr>
                    <w:pStyle w:val="13"/>
                    <w:spacing w:line="240" w:lineRule="auto"/>
                    <w:ind w:firstLine="0"/>
                    <w:jc w:val="center"/>
                    <w:rPr>
                      <w:bCs/>
                      <w:sz w:val="21"/>
                      <w:szCs w:val="21"/>
                    </w:rPr>
                  </w:pPr>
                  <w:r>
                    <w:rPr>
                      <w:sz w:val="21"/>
                      <w:szCs w:val="21"/>
                    </w:rPr>
                    <w:t>振动筛</w:t>
                  </w:r>
                </w:p>
              </w:tc>
              <w:tc>
                <w:tcPr>
                  <w:tcW w:w="431" w:type="pct"/>
                  <w:vAlign w:val="center"/>
                </w:tcPr>
                <w:p>
                  <w:pPr>
                    <w:pStyle w:val="13"/>
                    <w:spacing w:line="240" w:lineRule="auto"/>
                    <w:ind w:firstLine="0"/>
                    <w:jc w:val="center"/>
                    <w:rPr>
                      <w:bCs/>
                      <w:sz w:val="21"/>
                      <w:szCs w:val="21"/>
                    </w:rPr>
                  </w:pPr>
                  <w:r>
                    <w:rPr>
                      <w:snapToGrid w:val="0"/>
                      <w:spacing w:val="-2"/>
                      <w:sz w:val="21"/>
                      <w:szCs w:val="21"/>
                    </w:rPr>
                    <w:t>2</w:t>
                  </w:r>
                </w:p>
              </w:tc>
              <w:tc>
                <w:tcPr>
                  <w:tcW w:w="528" w:type="pct"/>
                  <w:vAlign w:val="center"/>
                </w:tcPr>
                <w:p>
                  <w:pPr>
                    <w:pStyle w:val="13"/>
                    <w:spacing w:line="240" w:lineRule="auto"/>
                    <w:ind w:firstLine="0"/>
                    <w:jc w:val="center"/>
                    <w:rPr>
                      <w:bCs/>
                      <w:sz w:val="21"/>
                      <w:szCs w:val="21"/>
                    </w:rPr>
                  </w:pPr>
                  <w:r>
                    <w:rPr>
                      <w:sz w:val="21"/>
                      <w:szCs w:val="21"/>
                    </w:rPr>
                    <w:t>85~90</w:t>
                  </w:r>
                </w:p>
              </w:tc>
              <w:tc>
                <w:tcPr>
                  <w:tcW w:w="695" w:type="pct"/>
                  <w:vAlign w:val="center"/>
                </w:tcPr>
                <w:p>
                  <w:pPr>
                    <w:pStyle w:val="13"/>
                    <w:spacing w:line="240" w:lineRule="auto"/>
                    <w:ind w:firstLine="0"/>
                    <w:jc w:val="center"/>
                    <w:rPr>
                      <w:bCs/>
                      <w:sz w:val="21"/>
                      <w:szCs w:val="21"/>
                    </w:rPr>
                  </w:pPr>
                  <w:r>
                    <w:rPr>
                      <w:bCs/>
                      <w:sz w:val="21"/>
                      <w:szCs w:val="21"/>
                    </w:rPr>
                    <w:t>机械性</w:t>
                  </w:r>
                </w:p>
              </w:tc>
              <w:tc>
                <w:tcPr>
                  <w:tcW w:w="695" w:type="pct"/>
                  <w:vAlign w:val="center"/>
                </w:tcPr>
                <w:p>
                  <w:pPr>
                    <w:pStyle w:val="13"/>
                    <w:spacing w:line="240" w:lineRule="auto"/>
                    <w:ind w:firstLine="0"/>
                    <w:jc w:val="center"/>
                    <w:rPr>
                      <w:bCs/>
                      <w:sz w:val="21"/>
                      <w:szCs w:val="21"/>
                    </w:rPr>
                  </w:pPr>
                  <w:r>
                    <w:rPr>
                      <w:bCs/>
                      <w:sz w:val="21"/>
                      <w:szCs w:val="21"/>
                    </w:rPr>
                    <w:t>连续</w:t>
                  </w:r>
                </w:p>
              </w:tc>
              <w:tc>
                <w:tcPr>
                  <w:tcW w:w="695" w:type="pct"/>
                  <w:vMerge w:val="continue"/>
                  <w:vAlign w:val="center"/>
                </w:tcPr>
                <w:p>
                  <w:pPr>
                    <w:pStyle w:val="13"/>
                    <w:spacing w:line="240" w:lineRule="auto"/>
                    <w:ind w:firstLine="0"/>
                    <w:jc w:val="center"/>
                    <w:rPr>
                      <w:bCs/>
                      <w:sz w:val="21"/>
                      <w:szCs w:val="21"/>
                    </w:rPr>
                  </w:pPr>
                </w:p>
              </w:tc>
              <w:tc>
                <w:tcPr>
                  <w:tcW w:w="914" w:type="pct"/>
                  <w:vAlign w:val="center"/>
                </w:tcPr>
                <w:p>
                  <w:pPr>
                    <w:pStyle w:val="13"/>
                    <w:spacing w:line="240" w:lineRule="auto"/>
                    <w:ind w:firstLine="0"/>
                    <w:jc w:val="center"/>
                    <w:rPr>
                      <w:bCs/>
                      <w:sz w:val="21"/>
                      <w:szCs w:val="21"/>
                    </w:rPr>
                  </w:pPr>
                  <w:r>
                    <w:rPr>
                      <w:sz w:val="21"/>
                      <w:szCs w:val="21"/>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42" w:type="pct"/>
                  <w:vAlign w:val="center"/>
                </w:tcPr>
                <w:p>
                  <w:pPr>
                    <w:pStyle w:val="13"/>
                    <w:spacing w:line="240" w:lineRule="auto"/>
                    <w:ind w:firstLine="0"/>
                    <w:jc w:val="center"/>
                    <w:rPr>
                      <w:bCs/>
                      <w:sz w:val="21"/>
                      <w:szCs w:val="21"/>
                    </w:rPr>
                  </w:pPr>
                  <w:r>
                    <w:rPr>
                      <w:sz w:val="21"/>
                      <w:szCs w:val="21"/>
                    </w:rPr>
                    <w:t>高效制砂机</w:t>
                  </w:r>
                </w:p>
              </w:tc>
              <w:tc>
                <w:tcPr>
                  <w:tcW w:w="431" w:type="pct"/>
                  <w:vAlign w:val="center"/>
                </w:tcPr>
                <w:p>
                  <w:pPr>
                    <w:pStyle w:val="13"/>
                    <w:spacing w:line="240" w:lineRule="auto"/>
                    <w:ind w:firstLine="0"/>
                    <w:jc w:val="center"/>
                    <w:rPr>
                      <w:bCs/>
                      <w:sz w:val="21"/>
                      <w:szCs w:val="21"/>
                    </w:rPr>
                  </w:pPr>
                  <w:r>
                    <w:rPr>
                      <w:snapToGrid w:val="0"/>
                      <w:spacing w:val="-2"/>
                      <w:sz w:val="21"/>
                      <w:szCs w:val="21"/>
                    </w:rPr>
                    <w:t>1</w:t>
                  </w:r>
                </w:p>
              </w:tc>
              <w:tc>
                <w:tcPr>
                  <w:tcW w:w="528" w:type="pct"/>
                  <w:vAlign w:val="center"/>
                </w:tcPr>
                <w:p>
                  <w:pPr>
                    <w:pStyle w:val="13"/>
                    <w:spacing w:line="240" w:lineRule="auto"/>
                    <w:ind w:firstLine="0"/>
                    <w:jc w:val="center"/>
                    <w:rPr>
                      <w:bCs/>
                      <w:sz w:val="21"/>
                      <w:szCs w:val="21"/>
                    </w:rPr>
                  </w:pPr>
                  <w:r>
                    <w:rPr>
                      <w:sz w:val="21"/>
                      <w:szCs w:val="21"/>
                    </w:rPr>
                    <w:t>90~95</w:t>
                  </w:r>
                </w:p>
              </w:tc>
              <w:tc>
                <w:tcPr>
                  <w:tcW w:w="695" w:type="pct"/>
                  <w:vAlign w:val="center"/>
                </w:tcPr>
                <w:p>
                  <w:pPr>
                    <w:pStyle w:val="13"/>
                    <w:spacing w:line="240" w:lineRule="auto"/>
                    <w:ind w:firstLine="0"/>
                    <w:jc w:val="center"/>
                    <w:rPr>
                      <w:bCs/>
                      <w:sz w:val="21"/>
                      <w:szCs w:val="21"/>
                    </w:rPr>
                  </w:pPr>
                  <w:r>
                    <w:rPr>
                      <w:bCs/>
                      <w:sz w:val="21"/>
                      <w:szCs w:val="21"/>
                    </w:rPr>
                    <w:t>机械性</w:t>
                  </w:r>
                </w:p>
              </w:tc>
              <w:tc>
                <w:tcPr>
                  <w:tcW w:w="695" w:type="pct"/>
                  <w:vAlign w:val="center"/>
                </w:tcPr>
                <w:p>
                  <w:pPr>
                    <w:pStyle w:val="13"/>
                    <w:spacing w:line="240" w:lineRule="auto"/>
                    <w:ind w:firstLine="0"/>
                    <w:jc w:val="center"/>
                    <w:rPr>
                      <w:bCs/>
                      <w:sz w:val="21"/>
                      <w:szCs w:val="21"/>
                    </w:rPr>
                  </w:pPr>
                  <w:r>
                    <w:rPr>
                      <w:bCs/>
                      <w:sz w:val="21"/>
                      <w:szCs w:val="21"/>
                    </w:rPr>
                    <w:t>连续</w:t>
                  </w:r>
                </w:p>
              </w:tc>
              <w:tc>
                <w:tcPr>
                  <w:tcW w:w="695" w:type="pct"/>
                  <w:vMerge w:val="continue"/>
                  <w:vAlign w:val="center"/>
                </w:tcPr>
                <w:p>
                  <w:pPr>
                    <w:pStyle w:val="13"/>
                    <w:spacing w:line="240" w:lineRule="auto"/>
                    <w:ind w:firstLine="0"/>
                    <w:jc w:val="center"/>
                    <w:rPr>
                      <w:bCs/>
                      <w:sz w:val="21"/>
                      <w:szCs w:val="21"/>
                    </w:rPr>
                  </w:pPr>
                </w:p>
              </w:tc>
              <w:tc>
                <w:tcPr>
                  <w:tcW w:w="914" w:type="pct"/>
                  <w:vAlign w:val="center"/>
                </w:tcPr>
                <w:p>
                  <w:pPr>
                    <w:pStyle w:val="13"/>
                    <w:spacing w:line="240" w:lineRule="auto"/>
                    <w:ind w:firstLine="0"/>
                    <w:jc w:val="center"/>
                    <w:rPr>
                      <w:bCs/>
                      <w:sz w:val="21"/>
                      <w:szCs w:val="21"/>
                    </w:rPr>
                  </w:pPr>
                  <w:r>
                    <w:rPr>
                      <w:sz w:val="21"/>
                      <w:szCs w:val="21"/>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042" w:type="pct"/>
                  <w:vAlign w:val="center"/>
                </w:tcPr>
                <w:p>
                  <w:pPr>
                    <w:pStyle w:val="13"/>
                    <w:spacing w:line="240" w:lineRule="auto"/>
                    <w:ind w:firstLine="0"/>
                    <w:jc w:val="center"/>
                    <w:rPr>
                      <w:bCs/>
                      <w:sz w:val="21"/>
                      <w:szCs w:val="21"/>
                    </w:rPr>
                  </w:pPr>
                  <w:r>
                    <w:rPr>
                      <w:sz w:val="21"/>
                      <w:szCs w:val="21"/>
                    </w:rPr>
                    <w:t>洗砂机</w:t>
                  </w:r>
                </w:p>
              </w:tc>
              <w:tc>
                <w:tcPr>
                  <w:tcW w:w="431" w:type="pct"/>
                  <w:vAlign w:val="center"/>
                </w:tcPr>
                <w:p>
                  <w:pPr>
                    <w:pStyle w:val="13"/>
                    <w:spacing w:line="240" w:lineRule="auto"/>
                    <w:ind w:firstLine="0"/>
                    <w:jc w:val="center"/>
                    <w:rPr>
                      <w:bCs/>
                      <w:sz w:val="21"/>
                      <w:szCs w:val="21"/>
                    </w:rPr>
                  </w:pPr>
                  <w:r>
                    <w:rPr>
                      <w:sz w:val="21"/>
                      <w:szCs w:val="21"/>
                    </w:rPr>
                    <w:t>1</w:t>
                  </w:r>
                </w:p>
              </w:tc>
              <w:tc>
                <w:tcPr>
                  <w:tcW w:w="528" w:type="pct"/>
                  <w:vAlign w:val="center"/>
                </w:tcPr>
                <w:p>
                  <w:pPr>
                    <w:pStyle w:val="13"/>
                    <w:spacing w:line="240" w:lineRule="auto"/>
                    <w:ind w:firstLine="0"/>
                    <w:jc w:val="center"/>
                    <w:rPr>
                      <w:bCs/>
                      <w:sz w:val="21"/>
                      <w:szCs w:val="21"/>
                    </w:rPr>
                  </w:pPr>
                  <w:r>
                    <w:rPr>
                      <w:sz w:val="21"/>
                      <w:szCs w:val="21"/>
                    </w:rPr>
                    <w:t>75~80</w:t>
                  </w:r>
                </w:p>
              </w:tc>
              <w:tc>
                <w:tcPr>
                  <w:tcW w:w="695" w:type="pct"/>
                  <w:vAlign w:val="center"/>
                </w:tcPr>
                <w:p>
                  <w:pPr>
                    <w:pStyle w:val="13"/>
                    <w:spacing w:line="240" w:lineRule="auto"/>
                    <w:ind w:firstLine="0"/>
                    <w:jc w:val="center"/>
                    <w:rPr>
                      <w:bCs/>
                      <w:sz w:val="21"/>
                      <w:szCs w:val="21"/>
                    </w:rPr>
                  </w:pPr>
                  <w:r>
                    <w:rPr>
                      <w:bCs/>
                      <w:sz w:val="21"/>
                      <w:szCs w:val="21"/>
                    </w:rPr>
                    <w:t>机械性</w:t>
                  </w:r>
                </w:p>
              </w:tc>
              <w:tc>
                <w:tcPr>
                  <w:tcW w:w="695" w:type="pct"/>
                  <w:vAlign w:val="center"/>
                </w:tcPr>
                <w:p>
                  <w:pPr>
                    <w:pStyle w:val="13"/>
                    <w:spacing w:line="240" w:lineRule="auto"/>
                    <w:ind w:firstLine="0"/>
                    <w:jc w:val="center"/>
                    <w:rPr>
                      <w:bCs/>
                      <w:sz w:val="21"/>
                      <w:szCs w:val="21"/>
                    </w:rPr>
                  </w:pPr>
                  <w:r>
                    <w:rPr>
                      <w:bCs/>
                      <w:sz w:val="21"/>
                      <w:szCs w:val="21"/>
                    </w:rPr>
                    <w:t>连续</w:t>
                  </w:r>
                </w:p>
              </w:tc>
              <w:tc>
                <w:tcPr>
                  <w:tcW w:w="695" w:type="pct"/>
                  <w:vMerge w:val="continue"/>
                  <w:vAlign w:val="center"/>
                </w:tcPr>
                <w:p>
                  <w:pPr>
                    <w:pStyle w:val="13"/>
                    <w:spacing w:line="240" w:lineRule="auto"/>
                    <w:ind w:firstLine="0"/>
                    <w:jc w:val="center"/>
                    <w:rPr>
                      <w:bCs/>
                      <w:sz w:val="21"/>
                      <w:szCs w:val="21"/>
                    </w:rPr>
                  </w:pPr>
                </w:p>
              </w:tc>
              <w:tc>
                <w:tcPr>
                  <w:tcW w:w="914" w:type="pct"/>
                  <w:vAlign w:val="center"/>
                </w:tcPr>
                <w:p>
                  <w:pPr>
                    <w:pStyle w:val="13"/>
                    <w:spacing w:line="240" w:lineRule="auto"/>
                    <w:ind w:firstLine="0"/>
                    <w:jc w:val="center"/>
                    <w:rPr>
                      <w:bCs/>
                      <w:sz w:val="21"/>
                      <w:szCs w:val="21"/>
                    </w:rPr>
                  </w:pPr>
                  <w:r>
                    <w:rPr>
                      <w:sz w:val="21"/>
                      <w:szCs w:val="21"/>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42" w:type="pct"/>
                  <w:vAlign w:val="center"/>
                </w:tcPr>
                <w:p>
                  <w:pPr>
                    <w:pStyle w:val="13"/>
                    <w:spacing w:line="240" w:lineRule="auto"/>
                    <w:ind w:firstLine="0"/>
                    <w:jc w:val="center"/>
                    <w:rPr>
                      <w:bCs/>
                      <w:sz w:val="21"/>
                      <w:szCs w:val="21"/>
                    </w:rPr>
                  </w:pPr>
                  <w:r>
                    <w:rPr>
                      <w:sz w:val="21"/>
                      <w:szCs w:val="21"/>
                    </w:rPr>
                    <w:t>皮带机</w:t>
                  </w:r>
                </w:p>
              </w:tc>
              <w:tc>
                <w:tcPr>
                  <w:tcW w:w="431" w:type="pct"/>
                  <w:vAlign w:val="center"/>
                </w:tcPr>
                <w:p>
                  <w:pPr>
                    <w:pStyle w:val="13"/>
                    <w:spacing w:line="240" w:lineRule="auto"/>
                    <w:ind w:firstLine="0"/>
                    <w:jc w:val="center"/>
                    <w:rPr>
                      <w:bCs/>
                      <w:sz w:val="21"/>
                      <w:szCs w:val="21"/>
                    </w:rPr>
                  </w:pPr>
                  <w:r>
                    <w:rPr>
                      <w:sz w:val="21"/>
                      <w:szCs w:val="21"/>
                    </w:rPr>
                    <w:t>4</w:t>
                  </w:r>
                </w:p>
              </w:tc>
              <w:tc>
                <w:tcPr>
                  <w:tcW w:w="528" w:type="pct"/>
                  <w:vAlign w:val="center"/>
                </w:tcPr>
                <w:p>
                  <w:pPr>
                    <w:pStyle w:val="13"/>
                    <w:spacing w:line="240" w:lineRule="auto"/>
                    <w:ind w:firstLine="0"/>
                    <w:jc w:val="center"/>
                    <w:rPr>
                      <w:bCs/>
                      <w:sz w:val="21"/>
                      <w:szCs w:val="21"/>
                    </w:rPr>
                  </w:pPr>
                  <w:r>
                    <w:rPr>
                      <w:sz w:val="21"/>
                      <w:szCs w:val="21"/>
                    </w:rPr>
                    <w:t>75~80</w:t>
                  </w:r>
                </w:p>
              </w:tc>
              <w:tc>
                <w:tcPr>
                  <w:tcW w:w="695" w:type="pct"/>
                  <w:vAlign w:val="center"/>
                </w:tcPr>
                <w:p>
                  <w:pPr>
                    <w:pStyle w:val="13"/>
                    <w:spacing w:line="240" w:lineRule="auto"/>
                    <w:ind w:firstLine="0"/>
                    <w:jc w:val="center"/>
                    <w:rPr>
                      <w:bCs/>
                      <w:sz w:val="21"/>
                      <w:szCs w:val="21"/>
                    </w:rPr>
                  </w:pPr>
                  <w:r>
                    <w:rPr>
                      <w:bCs/>
                      <w:sz w:val="21"/>
                      <w:szCs w:val="21"/>
                    </w:rPr>
                    <w:t>机械性</w:t>
                  </w:r>
                </w:p>
              </w:tc>
              <w:tc>
                <w:tcPr>
                  <w:tcW w:w="695" w:type="pct"/>
                  <w:vAlign w:val="center"/>
                </w:tcPr>
                <w:p>
                  <w:pPr>
                    <w:pStyle w:val="13"/>
                    <w:spacing w:line="240" w:lineRule="auto"/>
                    <w:ind w:firstLine="0"/>
                    <w:jc w:val="center"/>
                    <w:rPr>
                      <w:bCs/>
                      <w:sz w:val="21"/>
                      <w:szCs w:val="21"/>
                    </w:rPr>
                  </w:pPr>
                  <w:r>
                    <w:rPr>
                      <w:bCs/>
                      <w:sz w:val="21"/>
                      <w:szCs w:val="21"/>
                    </w:rPr>
                    <w:t>连续</w:t>
                  </w:r>
                </w:p>
              </w:tc>
              <w:tc>
                <w:tcPr>
                  <w:tcW w:w="695" w:type="pct"/>
                  <w:vMerge w:val="continue"/>
                  <w:vAlign w:val="center"/>
                </w:tcPr>
                <w:p>
                  <w:pPr>
                    <w:pStyle w:val="13"/>
                    <w:spacing w:line="240" w:lineRule="auto"/>
                    <w:ind w:firstLine="0"/>
                    <w:jc w:val="center"/>
                    <w:rPr>
                      <w:bCs/>
                      <w:sz w:val="21"/>
                      <w:szCs w:val="21"/>
                    </w:rPr>
                  </w:pPr>
                </w:p>
              </w:tc>
              <w:tc>
                <w:tcPr>
                  <w:tcW w:w="914" w:type="pct"/>
                  <w:vAlign w:val="center"/>
                </w:tcPr>
                <w:p>
                  <w:pPr>
                    <w:pStyle w:val="13"/>
                    <w:spacing w:line="240" w:lineRule="auto"/>
                    <w:ind w:firstLine="0"/>
                    <w:jc w:val="center"/>
                    <w:rPr>
                      <w:bCs/>
                      <w:sz w:val="21"/>
                      <w:szCs w:val="21"/>
                    </w:rPr>
                  </w:pPr>
                  <w:r>
                    <w:rPr>
                      <w:sz w:val="21"/>
                      <w:szCs w:val="21"/>
                    </w:rPr>
                    <w:t>55</w:t>
                  </w:r>
                </w:p>
              </w:tc>
            </w:tr>
            <w:bookmarkEnd w:id="54"/>
          </w:tbl>
          <w:p>
            <w:pPr>
              <w:pStyle w:val="13"/>
              <w:spacing w:line="240" w:lineRule="auto"/>
              <w:ind w:firstLine="0"/>
              <w:jc w:val="center"/>
              <w:rPr>
                <w:bCs/>
                <w:sz w:val="21"/>
                <w:szCs w:val="21"/>
              </w:rPr>
            </w:pPr>
          </w:p>
          <w:p>
            <w:pPr>
              <w:pStyle w:val="13"/>
              <w:spacing w:line="360" w:lineRule="auto"/>
              <w:ind w:firstLine="0"/>
              <w:jc w:val="left"/>
              <w:rPr>
                <w:b/>
                <w:bCs/>
              </w:rPr>
            </w:pPr>
            <w:r>
              <w:rPr>
                <w:b/>
                <w:bCs/>
              </w:rPr>
              <w:t>2、噪声排放达标情况分析</w:t>
            </w:r>
          </w:p>
          <w:p>
            <w:pPr>
              <w:pStyle w:val="13"/>
              <w:spacing w:line="360" w:lineRule="auto"/>
              <w:ind w:firstLine="480" w:firstLineChars="200"/>
              <w:jc w:val="left"/>
            </w:pPr>
            <w:r>
              <w:t>（1）预测点布设</w:t>
            </w:r>
          </w:p>
          <w:p>
            <w:pPr>
              <w:pStyle w:val="13"/>
              <w:spacing w:line="360" w:lineRule="auto"/>
              <w:ind w:firstLine="480" w:firstLineChars="200"/>
              <w:jc w:val="left"/>
            </w:pPr>
            <w:r>
              <w:rPr>
                <w:rFonts w:hint="eastAsia"/>
              </w:rPr>
              <w:t>本次评价</w:t>
            </w:r>
            <w:r>
              <w:t>分别在</w:t>
            </w:r>
            <w:r>
              <w:rPr>
                <w:rFonts w:hint="eastAsia"/>
              </w:rPr>
              <w:t>项目区</w:t>
            </w:r>
            <w:r>
              <w:t>东、南、西、北厂界布置预测点，每边界布设1个点位。</w:t>
            </w:r>
          </w:p>
          <w:p>
            <w:pPr>
              <w:pStyle w:val="13"/>
              <w:spacing w:line="360" w:lineRule="auto"/>
              <w:ind w:firstLine="480" w:firstLineChars="200"/>
              <w:jc w:val="left"/>
            </w:pPr>
            <w:r>
              <w:t>（2）预测模式</w:t>
            </w:r>
          </w:p>
          <w:p>
            <w:pPr>
              <w:pStyle w:val="13"/>
              <w:spacing w:line="360" w:lineRule="auto"/>
              <w:ind w:firstLine="480" w:firstLineChars="200"/>
              <w:jc w:val="left"/>
            </w:pPr>
            <w:r>
              <w:t>根据《环境影响评价技术导则 声环境》（HJ2.4-2021）的技术要求，采取导则上推荐典型行业噪声预测方法，根据声源声功率级或参考位置处的声压级、户外声传播衰减，计算预测点的声级。本项目生产设备设置于项目中间区域（生产区），为露天环境</w:t>
            </w:r>
            <w:r>
              <w:rPr>
                <w:rFonts w:hint="eastAsia"/>
              </w:rPr>
              <w:t>中</w:t>
            </w:r>
            <w:r>
              <w:t>，故本次评价不计大气吸收、地面效应、障碍物屏蔽、其它多方面效应引起的衰减，仅考虑几何发散引起的衰减对距声源不同距离处的声压级进行预测，并叠加各声源得到预测点处的噪声贡献值。根据《环境影响评价技术导则-声环境》（HJ2.4-2021），计算公式如下：</w:t>
            </w:r>
          </w:p>
          <w:p>
            <w:pPr>
              <w:pStyle w:val="13"/>
              <w:spacing w:line="360" w:lineRule="auto"/>
              <w:ind w:firstLine="480" w:firstLineChars="200"/>
              <w:jc w:val="left"/>
            </w:pPr>
            <w:r>
              <w:t>①无指向性点声源几何发散衰减的基本公式：</w:t>
            </w:r>
          </w:p>
          <w:p>
            <w:pPr>
              <w:pStyle w:val="13"/>
              <w:spacing w:line="360" w:lineRule="auto"/>
              <w:ind w:firstLine="0"/>
              <w:jc w:val="center"/>
            </w:pPr>
            <w:r>
              <w:t>L</w:t>
            </w:r>
            <w:r>
              <w:rPr>
                <w:vertAlign w:val="subscript"/>
              </w:rPr>
              <w:t>p</w:t>
            </w:r>
            <w:r>
              <w:t>（r）=L</w:t>
            </w:r>
            <w:r>
              <w:rPr>
                <w:vertAlign w:val="subscript"/>
              </w:rPr>
              <w:t>p</w:t>
            </w:r>
            <w:r>
              <w:t>（r</w:t>
            </w:r>
            <w:r>
              <w:rPr>
                <w:vertAlign w:val="subscript"/>
              </w:rPr>
              <w:t>0</w:t>
            </w:r>
            <w:r>
              <w:t>）-20lg（r/r</w:t>
            </w:r>
            <w:r>
              <w:rPr>
                <w:vertAlign w:val="subscript"/>
              </w:rPr>
              <w:t>0</w:t>
            </w:r>
            <w:r>
              <w:t>）</w:t>
            </w:r>
          </w:p>
          <w:p>
            <w:pPr>
              <w:spacing w:line="360" w:lineRule="auto"/>
              <w:ind w:firstLine="480" w:firstLineChars="200"/>
              <w:jc w:val="left"/>
              <w:rPr>
                <w:sz w:val="24"/>
              </w:rPr>
            </w:pPr>
            <w:r>
              <w:rPr>
                <w:sz w:val="24"/>
              </w:rPr>
              <w:t>式中：L</w:t>
            </w:r>
            <w:r>
              <w:rPr>
                <w:sz w:val="24"/>
                <w:vertAlign w:val="subscript"/>
              </w:rPr>
              <w:t>p</w:t>
            </w:r>
            <w:r>
              <w:rPr>
                <w:sz w:val="24"/>
              </w:rPr>
              <w:t>（r）—预测点处声压级，dB；</w:t>
            </w:r>
          </w:p>
          <w:p>
            <w:pPr>
              <w:spacing w:line="360" w:lineRule="auto"/>
              <w:ind w:firstLine="1200" w:firstLineChars="500"/>
              <w:jc w:val="left"/>
              <w:rPr>
                <w:sz w:val="24"/>
              </w:rPr>
            </w:pPr>
            <w:r>
              <w:rPr>
                <w:sz w:val="24"/>
              </w:rPr>
              <w:t>L</w:t>
            </w:r>
            <w:r>
              <w:rPr>
                <w:sz w:val="24"/>
                <w:vertAlign w:val="subscript"/>
              </w:rPr>
              <w:t>p</w:t>
            </w:r>
            <w:r>
              <w:rPr>
                <w:sz w:val="24"/>
              </w:rPr>
              <w:t>（r</w:t>
            </w:r>
            <w:r>
              <w:rPr>
                <w:sz w:val="24"/>
                <w:vertAlign w:val="subscript"/>
              </w:rPr>
              <w:t>0</w:t>
            </w:r>
            <w:r>
              <w:rPr>
                <w:sz w:val="24"/>
              </w:rPr>
              <w:t>）—参考位置r</w:t>
            </w:r>
            <w:r>
              <w:rPr>
                <w:sz w:val="24"/>
                <w:vertAlign w:val="subscript"/>
              </w:rPr>
              <w:t>0</w:t>
            </w:r>
            <w:r>
              <w:rPr>
                <w:sz w:val="24"/>
              </w:rPr>
              <w:t>处的声压级，dB；</w:t>
            </w:r>
          </w:p>
          <w:p>
            <w:pPr>
              <w:spacing w:line="360" w:lineRule="auto"/>
              <w:ind w:firstLine="1200" w:firstLineChars="500"/>
              <w:jc w:val="left"/>
              <w:rPr>
                <w:sz w:val="24"/>
              </w:rPr>
            </w:pPr>
            <w:r>
              <w:rPr>
                <w:sz w:val="24"/>
              </w:rPr>
              <w:t>r—预测点距声源的距离；</w:t>
            </w:r>
          </w:p>
          <w:p>
            <w:pPr>
              <w:pStyle w:val="13"/>
              <w:spacing w:line="360" w:lineRule="auto"/>
              <w:ind w:firstLine="1200" w:firstLineChars="500"/>
              <w:jc w:val="left"/>
            </w:pPr>
            <w:r>
              <w:t>r</w:t>
            </w:r>
            <w:r>
              <w:rPr>
                <w:vertAlign w:val="subscript"/>
              </w:rPr>
              <w:t>0</w:t>
            </w:r>
            <w:r>
              <w:t>—参考位置距声源的距离。</w:t>
            </w:r>
          </w:p>
          <w:p>
            <w:pPr>
              <w:pStyle w:val="13"/>
              <w:spacing w:line="360" w:lineRule="auto"/>
              <w:ind w:firstLine="480" w:firstLineChars="200"/>
              <w:jc w:val="left"/>
            </w:pPr>
            <w:r>
              <w:t>②工业企业噪声贡献值：</w:t>
            </w:r>
          </w:p>
          <w:p>
            <w:pPr>
              <w:pStyle w:val="13"/>
              <w:spacing w:line="360" w:lineRule="auto"/>
              <w:ind w:firstLine="480" w:firstLineChars="200"/>
              <w:jc w:val="left"/>
            </w:pPr>
            <w:r>
              <w:t>设第i个室外声源在预测点产生的A声级为</w:t>
            </w:r>
            <w:r>
              <w:rPr>
                <w:i/>
                <w:iCs/>
              </w:rPr>
              <w:t>L</w:t>
            </w:r>
            <w:r>
              <w:rPr>
                <w:vertAlign w:val="subscript"/>
              </w:rPr>
              <w:t>Ai</w:t>
            </w:r>
            <w:r>
              <w:t>，在T时间内该声源工作时间为t</w:t>
            </w:r>
            <w:r>
              <w:rPr>
                <w:vertAlign w:val="subscript"/>
              </w:rPr>
              <w:t>i</w:t>
            </w:r>
            <w:r>
              <w:t>；第j个等效室外声源在预测点产生的A声级为</w:t>
            </w:r>
            <w:r>
              <w:rPr>
                <w:i/>
                <w:iCs/>
              </w:rPr>
              <w:t>L</w:t>
            </w:r>
            <w:r>
              <w:rPr>
                <w:vertAlign w:val="subscript"/>
              </w:rPr>
              <w:t>Aj</w:t>
            </w:r>
            <w:r>
              <w:t>，在T时间内该声源工作时间为t</w:t>
            </w:r>
            <w:r>
              <w:rPr>
                <w:vertAlign w:val="subscript"/>
              </w:rPr>
              <w:t>j</w:t>
            </w:r>
            <w:r>
              <w:t>,，则拟建工程声源对预测点产生的贡献值(</w:t>
            </w:r>
            <w:r>
              <w:rPr>
                <w:i/>
                <w:iCs/>
              </w:rPr>
              <w:t>L</w:t>
            </w:r>
            <w:r>
              <w:rPr>
                <w:vertAlign w:val="subscript"/>
              </w:rPr>
              <w:t>eqg</w:t>
            </w:r>
            <w:r>
              <w:t>）为：</w:t>
            </w:r>
          </w:p>
          <w:p>
            <w:pPr>
              <w:pStyle w:val="13"/>
              <w:spacing w:line="360" w:lineRule="auto"/>
              <w:ind w:firstLine="0"/>
              <w:jc w:val="center"/>
            </w:pPr>
            <w:r>
              <w:drawing>
                <wp:inline distT="0" distB="0" distL="0" distR="0">
                  <wp:extent cx="2999740" cy="551815"/>
                  <wp:effectExtent l="0" t="0" r="1016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stretch>
                            <a:fillRect/>
                          </a:stretch>
                        </pic:blipFill>
                        <pic:spPr>
                          <a:xfrm>
                            <a:off x="0" y="0"/>
                            <a:ext cx="3000000" cy="552381"/>
                          </a:xfrm>
                          <a:prstGeom prst="rect">
                            <a:avLst/>
                          </a:prstGeom>
                        </pic:spPr>
                      </pic:pic>
                    </a:graphicData>
                  </a:graphic>
                </wp:inline>
              </w:drawing>
            </w:r>
          </w:p>
          <w:p>
            <w:pPr>
              <w:spacing w:line="360" w:lineRule="auto"/>
              <w:ind w:firstLine="480" w:firstLineChars="200"/>
              <w:jc w:val="left"/>
              <w:rPr>
                <w:sz w:val="24"/>
              </w:rPr>
            </w:pPr>
            <w:r>
              <w:rPr>
                <w:sz w:val="24"/>
              </w:rPr>
              <w:t>式中：Leqg——建设项目声源在预测点产生的噪声贡献值，dB；</w:t>
            </w:r>
          </w:p>
          <w:p>
            <w:pPr>
              <w:spacing w:line="360" w:lineRule="auto"/>
              <w:ind w:firstLine="1200" w:firstLineChars="500"/>
              <w:jc w:val="left"/>
              <w:rPr>
                <w:sz w:val="24"/>
              </w:rPr>
            </w:pPr>
            <w:r>
              <w:rPr>
                <w:sz w:val="24"/>
              </w:rPr>
              <w:t>T——用于计算等效声级的时间，s；本次预测考虑t=T计算；</w:t>
            </w:r>
          </w:p>
          <w:p>
            <w:pPr>
              <w:spacing w:line="360" w:lineRule="auto"/>
              <w:ind w:firstLine="1200" w:firstLineChars="500"/>
              <w:jc w:val="left"/>
              <w:rPr>
                <w:sz w:val="24"/>
              </w:rPr>
            </w:pPr>
            <w:r>
              <w:rPr>
                <w:sz w:val="24"/>
              </w:rPr>
              <w:t>N——室外声源个数；</w:t>
            </w:r>
          </w:p>
          <w:p>
            <w:pPr>
              <w:spacing w:line="360" w:lineRule="auto"/>
              <w:ind w:firstLine="1200" w:firstLineChars="500"/>
              <w:jc w:val="left"/>
              <w:rPr>
                <w:sz w:val="24"/>
              </w:rPr>
            </w:pPr>
            <w:r>
              <w:rPr>
                <w:sz w:val="24"/>
              </w:rPr>
              <w:t>t</w:t>
            </w:r>
            <w:r>
              <w:rPr>
                <w:sz w:val="24"/>
                <w:vertAlign w:val="subscript"/>
              </w:rPr>
              <w:t>i</w:t>
            </w:r>
            <w:r>
              <w:rPr>
                <w:sz w:val="24"/>
              </w:rPr>
              <w:t>——在T时间内i声源工作时间，s；本次预测考虑t=T计算；</w:t>
            </w:r>
          </w:p>
          <w:p>
            <w:pPr>
              <w:spacing w:line="360" w:lineRule="auto"/>
              <w:ind w:firstLine="1200" w:firstLineChars="500"/>
              <w:jc w:val="left"/>
              <w:rPr>
                <w:sz w:val="24"/>
              </w:rPr>
            </w:pPr>
            <w:r>
              <w:rPr>
                <w:sz w:val="24"/>
              </w:rPr>
              <w:t>M——等效室外声源个数；</w:t>
            </w:r>
          </w:p>
          <w:p>
            <w:pPr>
              <w:pStyle w:val="13"/>
              <w:spacing w:line="360" w:lineRule="auto"/>
              <w:ind w:firstLine="1200" w:firstLineChars="500"/>
              <w:jc w:val="left"/>
            </w:pPr>
            <w:r>
              <w:t>t</w:t>
            </w:r>
            <w:r>
              <w:rPr>
                <w:vertAlign w:val="subscript"/>
              </w:rPr>
              <w:t>j</w:t>
            </w:r>
            <w:r>
              <w:t>——在T时间内j声源工作时间，s。</w:t>
            </w:r>
          </w:p>
          <w:p>
            <w:pPr>
              <w:pStyle w:val="13"/>
              <w:spacing w:line="360" w:lineRule="auto"/>
              <w:ind w:firstLine="480" w:firstLineChars="200"/>
              <w:jc w:val="left"/>
            </w:pPr>
            <w:r>
              <w:t>（3）预测及评价结果</w:t>
            </w:r>
          </w:p>
          <w:p>
            <w:pPr>
              <w:pStyle w:val="13"/>
              <w:spacing w:line="360" w:lineRule="auto"/>
              <w:ind w:firstLine="480" w:firstLineChars="200"/>
              <w:jc w:val="left"/>
            </w:pPr>
            <w:r>
              <w:t>根据上述公示，运营期固定声源在厂界预测点处的声压级和预测点的噪声贡献值计算结果如下表：</w:t>
            </w:r>
          </w:p>
          <w:p>
            <w:pPr>
              <w:pStyle w:val="13"/>
              <w:spacing w:line="240" w:lineRule="auto"/>
              <w:ind w:firstLine="0"/>
              <w:jc w:val="center"/>
              <w:rPr>
                <w:b/>
                <w:bCs/>
              </w:rPr>
            </w:pPr>
            <w:r>
              <w:rPr>
                <w:b/>
                <w:bCs/>
              </w:rPr>
              <w:t>表4.8-2  运营期厂界处各声源声压值及厂界噪声贡献值一览表</w:t>
            </w:r>
          </w:p>
          <w:tbl>
            <w:tblPr>
              <w:tblStyle w:val="7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0"/>
              <w:gridCol w:w="822"/>
              <w:gridCol w:w="1052"/>
              <w:gridCol w:w="832"/>
              <w:gridCol w:w="993"/>
              <w:gridCol w:w="758"/>
              <w:gridCol w:w="905"/>
              <w:gridCol w:w="829"/>
              <w:gridCol w:w="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pct"/>
                  <w:vMerge w:val="restart"/>
                  <w:vAlign w:val="center"/>
                </w:tcPr>
                <w:p>
                  <w:pPr>
                    <w:jc w:val="center"/>
                    <w:rPr>
                      <w:b/>
                      <w:bCs/>
                      <w:kern w:val="0"/>
                      <w:szCs w:val="21"/>
                    </w:rPr>
                  </w:pPr>
                  <w:r>
                    <w:rPr>
                      <w:b/>
                      <w:bCs/>
                      <w:kern w:val="0"/>
                      <w:szCs w:val="21"/>
                    </w:rPr>
                    <w:t>噪声源</w:t>
                  </w:r>
                </w:p>
              </w:tc>
              <w:tc>
                <w:tcPr>
                  <w:tcW w:w="1106" w:type="pct"/>
                  <w:gridSpan w:val="2"/>
                  <w:vAlign w:val="center"/>
                </w:tcPr>
                <w:p>
                  <w:pPr>
                    <w:jc w:val="center"/>
                    <w:rPr>
                      <w:b/>
                      <w:bCs/>
                      <w:kern w:val="0"/>
                      <w:szCs w:val="21"/>
                    </w:rPr>
                  </w:pPr>
                  <w:r>
                    <w:rPr>
                      <w:b/>
                      <w:bCs/>
                      <w:kern w:val="0"/>
                      <w:szCs w:val="21"/>
                    </w:rPr>
                    <w:t>东侧</w:t>
                  </w:r>
                </w:p>
              </w:tc>
              <w:tc>
                <w:tcPr>
                  <w:tcW w:w="1077" w:type="pct"/>
                  <w:gridSpan w:val="2"/>
                  <w:vAlign w:val="center"/>
                </w:tcPr>
                <w:p>
                  <w:pPr>
                    <w:jc w:val="center"/>
                    <w:rPr>
                      <w:b/>
                      <w:bCs/>
                      <w:kern w:val="0"/>
                      <w:szCs w:val="21"/>
                    </w:rPr>
                  </w:pPr>
                  <w:r>
                    <w:rPr>
                      <w:b/>
                      <w:bCs/>
                      <w:kern w:val="0"/>
                      <w:szCs w:val="21"/>
                    </w:rPr>
                    <w:t>南侧</w:t>
                  </w:r>
                </w:p>
              </w:tc>
              <w:tc>
                <w:tcPr>
                  <w:tcW w:w="981" w:type="pct"/>
                  <w:gridSpan w:val="2"/>
                  <w:vAlign w:val="center"/>
                </w:tcPr>
                <w:p>
                  <w:pPr>
                    <w:jc w:val="center"/>
                    <w:rPr>
                      <w:b/>
                      <w:bCs/>
                      <w:kern w:val="0"/>
                      <w:szCs w:val="21"/>
                    </w:rPr>
                  </w:pPr>
                  <w:r>
                    <w:rPr>
                      <w:b/>
                      <w:bCs/>
                      <w:kern w:val="0"/>
                      <w:szCs w:val="21"/>
                    </w:rPr>
                    <w:t>西侧</w:t>
                  </w:r>
                </w:p>
              </w:tc>
              <w:tc>
                <w:tcPr>
                  <w:tcW w:w="1022" w:type="pct"/>
                  <w:gridSpan w:val="2"/>
                  <w:vAlign w:val="center"/>
                </w:tcPr>
                <w:p>
                  <w:pPr>
                    <w:jc w:val="center"/>
                    <w:rPr>
                      <w:b/>
                      <w:bCs/>
                      <w:kern w:val="0"/>
                      <w:szCs w:val="21"/>
                    </w:rPr>
                  </w:pPr>
                  <w:r>
                    <w:rPr>
                      <w:b/>
                      <w:bCs/>
                      <w:kern w:val="0"/>
                      <w:szCs w:val="21"/>
                    </w:rPr>
                    <w:t>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pct"/>
                  <w:vMerge w:val="continue"/>
                  <w:vAlign w:val="center"/>
                </w:tcPr>
                <w:p>
                  <w:pPr>
                    <w:jc w:val="center"/>
                    <w:rPr>
                      <w:kern w:val="0"/>
                      <w:szCs w:val="21"/>
                    </w:rPr>
                  </w:pPr>
                </w:p>
              </w:tc>
              <w:tc>
                <w:tcPr>
                  <w:tcW w:w="485" w:type="pct"/>
                  <w:vAlign w:val="center"/>
                </w:tcPr>
                <w:p>
                  <w:pPr>
                    <w:jc w:val="center"/>
                    <w:rPr>
                      <w:b/>
                      <w:bCs/>
                      <w:kern w:val="0"/>
                      <w:szCs w:val="21"/>
                    </w:rPr>
                  </w:pPr>
                  <w:r>
                    <w:rPr>
                      <w:b/>
                      <w:bCs/>
                      <w:kern w:val="0"/>
                      <w:szCs w:val="21"/>
                    </w:rPr>
                    <w:t>距离/m</w:t>
                  </w:r>
                </w:p>
              </w:tc>
              <w:tc>
                <w:tcPr>
                  <w:tcW w:w="621" w:type="pct"/>
                  <w:vAlign w:val="center"/>
                </w:tcPr>
                <w:p>
                  <w:pPr>
                    <w:jc w:val="center"/>
                    <w:rPr>
                      <w:b/>
                      <w:bCs/>
                      <w:kern w:val="0"/>
                      <w:szCs w:val="21"/>
                    </w:rPr>
                  </w:pPr>
                  <w:r>
                    <w:rPr>
                      <w:b/>
                      <w:bCs/>
                      <w:kern w:val="0"/>
                      <w:szCs w:val="21"/>
                    </w:rPr>
                    <w:t>声压级/dB</w:t>
                  </w:r>
                </w:p>
              </w:tc>
              <w:tc>
                <w:tcPr>
                  <w:tcW w:w="491" w:type="pct"/>
                  <w:vAlign w:val="center"/>
                </w:tcPr>
                <w:p>
                  <w:pPr>
                    <w:jc w:val="center"/>
                    <w:rPr>
                      <w:b/>
                      <w:bCs/>
                      <w:kern w:val="0"/>
                      <w:szCs w:val="21"/>
                    </w:rPr>
                  </w:pPr>
                  <w:r>
                    <w:rPr>
                      <w:b/>
                      <w:bCs/>
                      <w:kern w:val="0"/>
                      <w:szCs w:val="21"/>
                    </w:rPr>
                    <w:t>距离/m</w:t>
                  </w:r>
                </w:p>
              </w:tc>
              <w:tc>
                <w:tcPr>
                  <w:tcW w:w="586" w:type="pct"/>
                  <w:vAlign w:val="center"/>
                </w:tcPr>
                <w:p>
                  <w:pPr>
                    <w:jc w:val="center"/>
                    <w:rPr>
                      <w:b/>
                      <w:bCs/>
                      <w:kern w:val="0"/>
                      <w:szCs w:val="21"/>
                    </w:rPr>
                  </w:pPr>
                  <w:r>
                    <w:rPr>
                      <w:b/>
                      <w:bCs/>
                      <w:kern w:val="0"/>
                      <w:szCs w:val="21"/>
                    </w:rPr>
                    <w:t>声压级/dB</w:t>
                  </w:r>
                </w:p>
              </w:tc>
              <w:tc>
                <w:tcPr>
                  <w:tcW w:w="447" w:type="pct"/>
                  <w:vAlign w:val="center"/>
                </w:tcPr>
                <w:p>
                  <w:pPr>
                    <w:jc w:val="center"/>
                    <w:rPr>
                      <w:b/>
                      <w:bCs/>
                      <w:kern w:val="0"/>
                      <w:szCs w:val="21"/>
                    </w:rPr>
                  </w:pPr>
                  <w:r>
                    <w:rPr>
                      <w:b/>
                      <w:bCs/>
                      <w:kern w:val="0"/>
                      <w:szCs w:val="21"/>
                    </w:rPr>
                    <w:t>距离/m</w:t>
                  </w:r>
                </w:p>
              </w:tc>
              <w:tc>
                <w:tcPr>
                  <w:tcW w:w="534" w:type="pct"/>
                  <w:vAlign w:val="center"/>
                </w:tcPr>
                <w:p>
                  <w:pPr>
                    <w:jc w:val="center"/>
                    <w:rPr>
                      <w:b/>
                      <w:bCs/>
                      <w:kern w:val="0"/>
                      <w:szCs w:val="21"/>
                    </w:rPr>
                  </w:pPr>
                  <w:r>
                    <w:rPr>
                      <w:b/>
                      <w:bCs/>
                      <w:kern w:val="0"/>
                      <w:szCs w:val="21"/>
                    </w:rPr>
                    <w:t>声压级/dB</w:t>
                  </w:r>
                </w:p>
              </w:tc>
              <w:tc>
                <w:tcPr>
                  <w:tcW w:w="489" w:type="pct"/>
                  <w:vAlign w:val="center"/>
                </w:tcPr>
                <w:p>
                  <w:pPr>
                    <w:jc w:val="center"/>
                    <w:rPr>
                      <w:b/>
                      <w:bCs/>
                      <w:kern w:val="0"/>
                      <w:szCs w:val="21"/>
                    </w:rPr>
                  </w:pPr>
                  <w:r>
                    <w:rPr>
                      <w:b/>
                      <w:bCs/>
                      <w:kern w:val="0"/>
                      <w:szCs w:val="21"/>
                    </w:rPr>
                    <w:t>距离/m</w:t>
                  </w:r>
                </w:p>
              </w:tc>
              <w:tc>
                <w:tcPr>
                  <w:tcW w:w="533" w:type="pct"/>
                  <w:vAlign w:val="center"/>
                </w:tcPr>
                <w:p>
                  <w:pPr>
                    <w:jc w:val="center"/>
                    <w:rPr>
                      <w:b/>
                      <w:bCs/>
                      <w:kern w:val="0"/>
                      <w:szCs w:val="21"/>
                    </w:rPr>
                  </w:pPr>
                  <w:r>
                    <w:rPr>
                      <w:b/>
                      <w:bCs/>
                      <w:kern w:val="0"/>
                      <w:szCs w:val="21"/>
                    </w:rPr>
                    <w:t>声压级/dB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pct"/>
                  <w:vAlign w:val="center"/>
                </w:tcPr>
                <w:p>
                  <w:pPr>
                    <w:jc w:val="center"/>
                    <w:rPr>
                      <w:szCs w:val="21"/>
                    </w:rPr>
                  </w:pPr>
                  <w:r>
                    <w:rPr>
                      <w:szCs w:val="21"/>
                    </w:rPr>
                    <w:t>三相异步电动机</w:t>
                  </w:r>
                </w:p>
              </w:tc>
              <w:tc>
                <w:tcPr>
                  <w:tcW w:w="485" w:type="pct"/>
                  <w:vAlign w:val="center"/>
                </w:tcPr>
                <w:p>
                  <w:pPr>
                    <w:jc w:val="center"/>
                    <w:rPr>
                      <w:kern w:val="0"/>
                      <w:szCs w:val="21"/>
                    </w:rPr>
                  </w:pPr>
                  <w:r>
                    <w:rPr>
                      <w:rFonts w:eastAsia="等线"/>
                      <w:szCs w:val="21"/>
                    </w:rPr>
                    <w:t>12</w:t>
                  </w:r>
                </w:p>
              </w:tc>
              <w:tc>
                <w:tcPr>
                  <w:tcW w:w="621" w:type="pct"/>
                  <w:vAlign w:val="center"/>
                </w:tcPr>
                <w:p>
                  <w:pPr>
                    <w:widowControl/>
                    <w:jc w:val="center"/>
                    <w:textAlignment w:val="center"/>
                    <w:rPr>
                      <w:kern w:val="0"/>
                      <w:szCs w:val="21"/>
                    </w:rPr>
                  </w:pPr>
                  <w:r>
                    <w:rPr>
                      <w:rFonts w:eastAsia="等线"/>
                      <w:szCs w:val="21"/>
                    </w:rPr>
                    <w:t xml:space="preserve">43.4 </w:t>
                  </w:r>
                </w:p>
              </w:tc>
              <w:tc>
                <w:tcPr>
                  <w:tcW w:w="491" w:type="pct"/>
                  <w:vAlign w:val="center"/>
                </w:tcPr>
                <w:p>
                  <w:pPr>
                    <w:jc w:val="center"/>
                    <w:rPr>
                      <w:kern w:val="0"/>
                      <w:szCs w:val="21"/>
                    </w:rPr>
                  </w:pPr>
                  <w:r>
                    <w:rPr>
                      <w:rFonts w:eastAsia="等线"/>
                      <w:szCs w:val="21"/>
                    </w:rPr>
                    <w:t>35</w:t>
                  </w:r>
                </w:p>
              </w:tc>
              <w:tc>
                <w:tcPr>
                  <w:tcW w:w="586" w:type="pct"/>
                  <w:vAlign w:val="center"/>
                </w:tcPr>
                <w:p>
                  <w:pPr>
                    <w:widowControl/>
                    <w:jc w:val="center"/>
                    <w:textAlignment w:val="center"/>
                    <w:rPr>
                      <w:kern w:val="0"/>
                      <w:szCs w:val="21"/>
                    </w:rPr>
                  </w:pPr>
                  <w:r>
                    <w:rPr>
                      <w:rFonts w:eastAsia="等线"/>
                      <w:szCs w:val="21"/>
                    </w:rPr>
                    <w:t xml:space="preserve">34.1 </w:t>
                  </w:r>
                </w:p>
              </w:tc>
              <w:tc>
                <w:tcPr>
                  <w:tcW w:w="447" w:type="pct"/>
                  <w:vAlign w:val="center"/>
                </w:tcPr>
                <w:p>
                  <w:pPr>
                    <w:jc w:val="center"/>
                    <w:rPr>
                      <w:kern w:val="0"/>
                      <w:szCs w:val="21"/>
                    </w:rPr>
                  </w:pPr>
                  <w:r>
                    <w:rPr>
                      <w:rFonts w:eastAsia="等线"/>
                      <w:szCs w:val="21"/>
                    </w:rPr>
                    <w:t>8</w:t>
                  </w:r>
                </w:p>
              </w:tc>
              <w:tc>
                <w:tcPr>
                  <w:tcW w:w="534" w:type="pct"/>
                  <w:vAlign w:val="center"/>
                </w:tcPr>
                <w:p>
                  <w:pPr>
                    <w:widowControl/>
                    <w:jc w:val="center"/>
                    <w:textAlignment w:val="center"/>
                    <w:rPr>
                      <w:kern w:val="0"/>
                      <w:szCs w:val="21"/>
                    </w:rPr>
                  </w:pPr>
                  <w:r>
                    <w:rPr>
                      <w:rFonts w:eastAsia="等线"/>
                      <w:szCs w:val="21"/>
                    </w:rPr>
                    <w:t xml:space="preserve">46.9 </w:t>
                  </w:r>
                </w:p>
              </w:tc>
              <w:tc>
                <w:tcPr>
                  <w:tcW w:w="489" w:type="pct"/>
                  <w:vAlign w:val="center"/>
                </w:tcPr>
                <w:p>
                  <w:pPr>
                    <w:jc w:val="center"/>
                    <w:rPr>
                      <w:kern w:val="0"/>
                      <w:szCs w:val="21"/>
                    </w:rPr>
                  </w:pPr>
                  <w:r>
                    <w:rPr>
                      <w:rFonts w:eastAsia="等线"/>
                      <w:szCs w:val="21"/>
                    </w:rPr>
                    <w:t>5</w:t>
                  </w:r>
                </w:p>
              </w:tc>
              <w:tc>
                <w:tcPr>
                  <w:tcW w:w="533" w:type="pct"/>
                  <w:vAlign w:val="center"/>
                </w:tcPr>
                <w:p>
                  <w:pPr>
                    <w:widowControl/>
                    <w:jc w:val="center"/>
                    <w:textAlignment w:val="center"/>
                    <w:rPr>
                      <w:kern w:val="0"/>
                      <w:szCs w:val="21"/>
                    </w:rPr>
                  </w:pPr>
                  <w:r>
                    <w:rPr>
                      <w:rFonts w:eastAsia="等线"/>
                      <w:szCs w:val="21"/>
                    </w:rPr>
                    <w:t xml:space="preserve">51.0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14" w:type="pct"/>
                  <w:vAlign w:val="center"/>
                </w:tcPr>
                <w:p>
                  <w:pPr>
                    <w:jc w:val="center"/>
                    <w:rPr>
                      <w:szCs w:val="21"/>
                    </w:rPr>
                  </w:pPr>
                  <w:r>
                    <w:rPr>
                      <w:szCs w:val="21"/>
                    </w:rPr>
                    <w:t>振动给料机</w:t>
                  </w:r>
                </w:p>
              </w:tc>
              <w:tc>
                <w:tcPr>
                  <w:tcW w:w="485" w:type="pct"/>
                  <w:vAlign w:val="center"/>
                </w:tcPr>
                <w:p>
                  <w:pPr>
                    <w:jc w:val="center"/>
                    <w:rPr>
                      <w:kern w:val="0"/>
                      <w:szCs w:val="21"/>
                    </w:rPr>
                  </w:pPr>
                  <w:r>
                    <w:rPr>
                      <w:rFonts w:eastAsia="等线"/>
                      <w:szCs w:val="21"/>
                    </w:rPr>
                    <w:t>12</w:t>
                  </w:r>
                </w:p>
              </w:tc>
              <w:tc>
                <w:tcPr>
                  <w:tcW w:w="621" w:type="pct"/>
                  <w:vAlign w:val="center"/>
                </w:tcPr>
                <w:p>
                  <w:pPr>
                    <w:widowControl/>
                    <w:jc w:val="center"/>
                    <w:textAlignment w:val="center"/>
                    <w:rPr>
                      <w:kern w:val="0"/>
                      <w:szCs w:val="21"/>
                    </w:rPr>
                  </w:pPr>
                  <w:r>
                    <w:rPr>
                      <w:rFonts w:eastAsia="等线"/>
                      <w:szCs w:val="21"/>
                    </w:rPr>
                    <w:t xml:space="preserve">38.4 </w:t>
                  </w:r>
                </w:p>
              </w:tc>
              <w:tc>
                <w:tcPr>
                  <w:tcW w:w="491" w:type="pct"/>
                  <w:vAlign w:val="center"/>
                </w:tcPr>
                <w:p>
                  <w:pPr>
                    <w:jc w:val="center"/>
                    <w:rPr>
                      <w:kern w:val="0"/>
                      <w:szCs w:val="21"/>
                    </w:rPr>
                  </w:pPr>
                  <w:r>
                    <w:rPr>
                      <w:rFonts w:eastAsia="等线"/>
                      <w:szCs w:val="21"/>
                    </w:rPr>
                    <w:t>32</w:t>
                  </w:r>
                </w:p>
              </w:tc>
              <w:tc>
                <w:tcPr>
                  <w:tcW w:w="586" w:type="pct"/>
                  <w:vAlign w:val="center"/>
                </w:tcPr>
                <w:p>
                  <w:pPr>
                    <w:widowControl/>
                    <w:jc w:val="center"/>
                    <w:textAlignment w:val="center"/>
                    <w:rPr>
                      <w:kern w:val="0"/>
                      <w:szCs w:val="21"/>
                    </w:rPr>
                  </w:pPr>
                  <w:r>
                    <w:rPr>
                      <w:rFonts w:eastAsia="等线"/>
                      <w:szCs w:val="21"/>
                    </w:rPr>
                    <w:t xml:space="preserve">29.9 </w:t>
                  </w:r>
                </w:p>
              </w:tc>
              <w:tc>
                <w:tcPr>
                  <w:tcW w:w="447" w:type="pct"/>
                  <w:vAlign w:val="center"/>
                </w:tcPr>
                <w:p>
                  <w:pPr>
                    <w:jc w:val="center"/>
                    <w:rPr>
                      <w:kern w:val="0"/>
                      <w:szCs w:val="21"/>
                    </w:rPr>
                  </w:pPr>
                  <w:r>
                    <w:rPr>
                      <w:rFonts w:eastAsia="等线"/>
                      <w:szCs w:val="21"/>
                    </w:rPr>
                    <w:t>8</w:t>
                  </w:r>
                </w:p>
              </w:tc>
              <w:tc>
                <w:tcPr>
                  <w:tcW w:w="534" w:type="pct"/>
                  <w:vAlign w:val="center"/>
                </w:tcPr>
                <w:p>
                  <w:pPr>
                    <w:widowControl/>
                    <w:jc w:val="center"/>
                    <w:textAlignment w:val="center"/>
                    <w:rPr>
                      <w:kern w:val="0"/>
                      <w:szCs w:val="21"/>
                    </w:rPr>
                  </w:pPr>
                  <w:r>
                    <w:rPr>
                      <w:rFonts w:eastAsia="等线"/>
                      <w:szCs w:val="21"/>
                    </w:rPr>
                    <w:t xml:space="preserve">41.9 </w:t>
                  </w:r>
                </w:p>
              </w:tc>
              <w:tc>
                <w:tcPr>
                  <w:tcW w:w="489" w:type="pct"/>
                  <w:vAlign w:val="center"/>
                </w:tcPr>
                <w:p>
                  <w:pPr>
                    <w:jc w:val="center"/>
                    <w:rPr>
                      <w:kern w:val="0"/>
                      <w:szCs w:val="21"/>
                    </w:rPr>
                  </w:pPr>
                  <w:r>
                    <w:rPr>
                      <w:rFonts w:eastAsia="等线"/>
                      <w:szCs w:val="21"/>
                    </w:rPr>
                    <w:t>8</w:t>
                  </w:r>
                </w:p>
              </w:tc>
              <w:tc>
                <w:tcPr>
                  <w:tcW w:w="533" w:type="pct"/>
                  <w:vAlign w:val="center"/>
                </w:tcPr>
                <w:p>
                  <w:pPr>
                    <w:widowControl/>
                    <w:jc w:val="center"/>
                    <w:textAlignment w:val="center"/>
                    <w:rPr>
                      <w:kern w:val="0"/>
                      <w:szCs w:val="21"/>
                    </w:rPr>
                  </w:pPr>
                  <w:r>
                    <w:rPr>
                      <w:rFonts w:eastAsia="等线"/>
                      <w:szCs w:val="21"/>
                    </w:rPr>
                    <w:t xml:space="preserve">41.9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pct"/>
                  <w:vAlign w:val="center"/>
                </w:tcPr>
                <w:p>
                  <w:pPr>
                    <w:jc w:val="center"/>
                    <w:rPr>
                      <w:szCs w:val="21"/>
                    </w:rPr>
                  </w:pPr>
                  <w:r>
                    <w:rPr>
                      <w:szCs w:val="21"/>
                    </w:rPr>
                    <w:t>颚式破碎机</w:t>
                  </w:r>
                </w:p>
              </w:tc>
              <w:tc>
                <w:tcPr>
                  <w:tcW w:w="485" w:type="pct"/>
                  <w:vAlign w:val="center"/>
                </w:tcPr>
                <w:p>
                  <w:pPr>
                    <w:jc w:val="center"/>
                    <w:rPr>
                      <w:kern w:val="0"/>
                      <w:szCs w:val="21"/>
                    </w:rPr>
                  </w:pPr>
                  <w:r>
                    <w:rPr>
                      <w:rFonts w:eastAsia="等线"/>
                      <w:szCs w:val="21"/>
                    </w:rPr>
                    <w:t>12</w:t>
                  </w:r>
                </w:p>
              </w:tc>
              <w:tc>
                <w:tcPr>
                  <w:tcW w:w="621" w:type="pct"/>
                  <w:vAlign w:val="center"/>
                </w:tcPr>
                <w:p>
                  <w:pPr>
                    <w:widowControl/>
                    <w:jc w:val="center"/>
                    <w:textAlignment w:val="center"/>
                    <w:rPr>
                      <w:kern w:val="0"/>
                      <w:szCs w:val="21"/>
                    </w:rPr>
                  </w:pPr>
                  <w:r>
                    <w:rPr>
                      <w:rFonts w:eastAsia="等线"/>
                      <w:szCs w:val="21"/>
                    </w:rPr>
                    <w:t xml:space="preserve">48.4 </w:t>
                  </w:r>
                </w:p>
              </w:tc>
              <w:tc>
                <w:tcPr>
                  <w:tcW w:w="491" w:type="pct"/>
                  <w:vAlign w:val="center"/>
                </w:tcPr>
                <w:p>
                  <w:pPr>
                    <w:jc w:val="center"/>
                    <w:rPr>
                      <w:kern w:val="0"/>
                      <w:szCs w:val="21"/>
                    </w:rPr>
                  </w:pPr>
                  <w:r>
                    <w:rPr>
                      <w:rFonts w:eastAsia="等线"/>
                      <w:szCs w:val="21"/>
                    </w:rPr>
                    <w:t>30</w:t>
                  </w:r>
                </w:p>
              </w:tc>
              <w:tc>
                <w:tcPr>
                  <w:tcW w:w="586" w:type="pct"/>
                  <w:vAlign w:val="center"/>
                </w:tcPr>
                <w:p>
                  <w:pPr>
                    <w:widowControl/>
                    <w:jc w:val="center"/>
                    <w:textAlignment w:val="center"/>
                    <w:rPr>
                      <w:kern w:val="0"/>
                      <w:szCs w:val="21"/>
                    </w:rPr>
                  </w:pPr>
                  <w:r>
                    <w:rPr>
                      <w:rFonts w:eastAsia="等线"/>
                      <w:szCs w:val="21"/>
                    </w:rPr>
                    <w:t xml:space="preserve">40.5 </w:t>
                  </w:r>
                </w:p>
              </w:tc>
              <w:tc>
                <w:tcPr>
                  <w:tcW w:w="447" w:type="pct"/>
                  <w:vAlign w:val="center"/>
                </w:tcPr>
                <w:p>
                  <w:pPr>
                    <w:jc w:val="center"/>
                    <w:rPr>
                      <w:kern w:val="0"/>
                      <w:szCs w:val="21"/>
                    </w:rPr>
                  </w:pPr>
                  <w:r>
                    <w:rPr>
                      <w:rFonts w:eastAsia="等线"/>
                      <w:szCs w:val="21"/>
                    </w:rPr>
                    <w:t>8</w:t>
                  </w:r>
                </w:p>
              </w:tc>
              <w:tc>
                <w:tcPr>
                  <w:tcW w:w="534" w:type="pct"/>
                  <w:vAlign w:val="center"/>
                </w:tcPr>
                <w:p>
                  <w:pPr>
                    <w:widowControl/>
                    <w:jc w:val="center"/>
                    <w:textAlignment w:val="center"/>
                    <w:rPr>
                      <w:kern w:val="0"/>
                      <w:szCs w:val="21"/>
                    </w:rPr>
                  </w:pPr>
                  <w:r>
                    <w:rPr>
                      <w:rFonts w:eastAsia="等线"/>
                      <w:szCs w:val="21"/>
                    </w:rPr>
                    <w:t xml:space="preserve">51.9 </w:t>
                  </w:r>
                </w:p>
              </w:tc>
              <w:tc>
                <w:tcPr>
                  <w:tcW w:w="489" w:type="pct"/>
                  <w:vAlign w:val="center"/>
                </w:tcPr>
                <w:p>
                  <w:pPr>
                    <w:jc w:val="center"/>
                    <w:rPr>
                      <w:kern w:val="0"/>
                      <w:szCs w:val="21"/>
                    </w:rPr>
                  </w:pPr>
                  <w:r>
                    <w:rPr>
                      <w:rFonts w:eastAsia="等线"/>
                      <w:szCs w:val="21"/>
                    </w:rPr>
                    <w:t>10</w:t>
                  </w:r>
                </w:p>
              </w:tc>
              <w:tc>
                <w:tcPr>
                  <w:tcW w:w="533" w:type="pct"/>
                  <w:vAlign w:val="center"/>
                </w:tcPr>
                <w:p>
                  <w:pPr>
                    <w:widowControl/>
                    <w:jc w:val="center"/>
                    <w:textAlignment w:val="center"/>
                    <w:rPr>
                      <w:kern w:val="0"/>
                      <w:szCs w:val="21"/>
                    </w:rPr>
                  </w:pPr>
                  <w:r>
                    <w:rPr>
                      <w:rFonts w:eastAsia="等线"/>
                      <w:szCs w:val="21"/>
                    </w:rPr>
                    <w:t xml:space="preserve">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pct"/>
                  <w:vAlign w:val="center"/>
                </w:tcPr>
                <w:p>
                  <w:pPr>
                    <w:jc w:val="center"/>
                    <w:rPr>
                      <w:szCs w:val="21"/>
                    </w:rPr>
                  </w:pPr>
                  <w:r>
                    <w:rPr>
                      <w:szCs w:val="21"/>
                    </w:rPr>
                    <w:t>圆锥破碎机</w:t>
                  </w:r>
                </w:p>
              </w:tc>
              <w:tc>
                <w:tcPr>
                  <w:tcW w:w="485" w:type="pct"/>
                  <w:vAlign w:val="center"/>
                </w:tcPr>
                <w:p>
                  <w:pPr>
                    <w:jc w:val="center"/>
                    <w:rPr>
                      <w:kern w:val="0"/>
                      <w:szCs w:val="21"/>
                    </w:rPr>
                  </w:pPr>
                  <w:r>
                    <w:rPr>
                      <w:rFonts w:eastAsia="等线"/>
                      <w:szCs w:val="21"/>
                    </w:rPr>
                    <w:t>12</w:t>
                  </w:r>
                </w:p>
              </w:tc>
              <w:tc>
                <w:tcPr>
                  <w:tcW w:w="621" w:type="pct"/>
                  <w:vAlign w:val="center"/>
                </w:tcPr>
                <w:p>
                  <w:pPr>
                    <w:widowControl/>
                    <w:jc w:val="center"/>
                    <w:textAlignment w:val="center"/>
                    <w:rPr>
                      <w:kern w:val="0"/>
                      <w:szCs w:val="21"/>
                    </w:rPr>
                  </w:pPr>
                  <w:r>
                    <w:rPr>
                      <w:rFonts w:eastAsia="等线"/>
                      <w:szCs w:val="21"/>
                    </w:rPr>
                    <w:t xml:space="preserve">48.4 </w:t>
                  </w:r>
                </w:p>
              </w:tc>
              <w:tc>
                <w:tcPr>
                  <w:tcW w:w="491" w:type="pct"/>
                  <w:vAlign w:val="center"/>
                </w:tcPr>
                <w:p>
                  <w:pPr>
                    <w:jc w:val="center"/>
                    <w:rPr>
                      <w:kern w:val="0"/>
                      <w:szCs w:val="21"/>
                    </w:rPr>
                  </w:pPr>
                  <w:r>
                    <w:rPr>
                      <w:rFonts w:eastAsia="等线"/>
                      <w:szCs w:val="21"/>
                    </w:rPr>
                    <w:t>25</w:t>
                  </w:r>
                </w:p>
              </w:tc>
              <w:tc>
                <w:tcPr>
                  <w:tcW w:w="586" w:type="pct"/>
                  <w:vAlign w:val="center"/>
                </w:tcPr>
                <w:p>
                  <w:pPr>
                    <w:widowControl/>
                    <w:jc w:val="center"/>
                    <w:textAlignment w:val="center"/>
                    <w:rPr>
                      <w:kern w:val="0"/>
                      <w:szCs w:val="21"/>
                    </w:rPr>
                  </w:pPr>
                  <w:r>
                    <w:rPr>
                      <w:rFonts w:eastAsia="等线"/>
                      <w:szCs w:val="21"/>
                    </w:rPr>
                    <w:t xml:space="preserve">42.0 </w:t>
                  </w:r>
                </w:p>
              </w:tc>
              <w:tc>
                <w:tcPr>
                  <w:tcW w:w="447" w:type="pct"/>
                  <w:vAlign w:val="center"/>
                </w:tcPr>
                <w:p>
                  <w:pPr>
                    <w:jc w:val="center"/>
                    <w:rPr>
                      <w:kern w:val="0"/>
                      <w:szCs w:val="21"/>
                    </w:rPr>
                  </w:pPr>
                  <w:r>
                    <w:rPr>
                      <w:rFonts w:eastAsia="等线"/>
                      <w:szCs w:val="21"/>
                    </w:rPr>
                    <w:t>8</w:t>
                  </w:r>
                </w:p>
              </w:tc>
              <w:tc>
                <w:tcPr>
                  <w:tcW w:w="534" w:type="pct"/>
                  <w:vAlign w:val="center"/>
                </w:tcPr>
                <w:p>
                  <w:pPr>
                    <w:widowControl/>
                    <w:jc w:val="center"/>
                    <w:textAlignment w:val="center"/>
                    <w:rPr>
                      <w:kern w:val="0"/>
                      <w:szCs w:val="21"/>
                    </w:rPr>
                  </w:pPr>
                  <w:r>
                    <w:rPr>
                      <w:rFonts w:eastAsia="等线"/>
                      <w:szCs w:val="21"/>
                    </w:rPr>
                    <w:t xml:space="preserve">51.9 </w:t>
                  </w:r>
                </w:p>
              </w:tc>
              <w:tc>
                <w:tcPr>
                  <w:tcW w:w="489" w:type="pct"/>
                  <w:vAlign w:val="center"/>
                </w:tcPr>
                <w:p>
                  <w:pPr>
                    <w:jc w:val="center"/>
                    <w:rPr>
                      <w:kern w:val="0"/>
                      <w:szCs w:val="21"/>
                    </w:rPr>
                  </w:pPr>
                  <w:r>
                    <w:rPr>
                      <w:rFonts w:eastAsia="等线"/>
                      <w:szCs w:val="21"/>
                    </w:rPr>
                    <w:t>15</w:t>
                  </w:r>
                </w:p>
              </w:tc>
              <w:tc>
                <w:tcPr>
                  <w:tcW w:w="533" w:type="pct"/>
                  <w:vAlign w:val="center"/>
                </w:tcPr>
                <w:p>
                  <w:pPr>
                    <w:widowControl/>
                    <w:jc w:val="center"/>
                    <w:textAlignment w:val="center"/>
                    <w:rPr>
                      <w:kern w:val="0"/>
                      <w:szCs w:val="21"/>
                    </w:rPr>
                  </w:pPr>
                  <w:r>
                    <w:rPr>
                      <w:rFonts w:eastAsia="等线"/>
                      <w:szCs w:val="21"/>
                    </w:rPr>
                    <w:t xml:space="preserve">46.5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pct"/>
                  <w:vAlign w:val="center"/>
                </w:tcPr>
                <w:p>
                  <w:pPr>
                    <w:jc w:val="center"/>
                    <w:rPr>
                      <w:szCs w:val="21"/>
                    </w:rPr>
                  </w:pPr>
                  <w:r>
                    <w:rPr>
                      <w:szCs w:val="21"/>
                    </w:rPr>
                    <w:t>振动筛</w:t>
                  </w:r>
                </w:p>
              </w:tc>
              <w:tc>
                <w:tcPr>
                  <w:tcW w:w="485" w:type="pct"/>
                  <w:vAlign w:val="center"/>
                </w:tcPr>
                <w:p>
                  <w:pPr>
                    <w:jc w:val="center"/>
                    <w:rPr>
                      <w:kern w:val="0"/>
                      <w:szCs w:val="21"/>
                    </w:rPr>
                  </w:pPr>
                  <w:r>
                    <w:rPr>
                      <w:rFonts w:eastAsia="等线"/>
                      <w:szCs w:val="21"/>
                    </w:rPr>
                    <w:t>15</w:t>
                  </w:r>
                </w:p>
              </w:tc>
              <w:tc>
                <w:tcPr>
                  <w:tcW w:w="621" w:type="pct"/>
                  <w:vAlign w:val="center"/>
                </w:tcPr>
                <w:p>
                  <w:pPr>
                    <w:widowControl/>
                    <w:jc w:val="center"/>
                    <w:textAlignment w:val="center"/>
                    <w:rPr>
                      <w:kern w:val="0"/>
                      <w:szCs w:val="21"/>
                    </w:rPr>
                  </w:pPr>
                  <w:r>
                    <w:rPr>
                      <w:rFonts w:eastAsia="等线"/>
                      <w:szCs w:val="21"/>
                    </w:rPr>
                    <w:t xml:space="preserve">41.5 </w:t>
                  </w:r>
                </w:p>
              </w:tc>
              <w:tc>
                <w:tcPr>
                  <w:tcW w:w="491" w:type="pct"/>
                  <w:vAlign w:val="center"/>
                </w:tcPr>
                <w:p>
                  <w:pPr>
                    <w:jc w:val="center"/>
                    <w:rPr>
                      <w:kern w:val="0"/>
                      <w:szCs w:val="21"/>
                    </w:rPr>
                  </w:pPr>
                  <w:r>
                    <w:rPr>
                      <w:rFonts w:eastAsia="等线"/>
                      <w:szCs w:val="21"/>
                    </w:rPr>
                    <w:t>25</w:t>
                  </w:r>
                </w:p>
              </w:tc>
              <w:tc>
                <w:tcPr>
                  <w:tcW w:w="586" w:type="pct"/>
                  <w:vAlign w:val="center"/>
                </w:tcPr>
                <w:p>
                  <w:pPr>
                    <w:widowControl/>
                    <w:jc w:val="center"/>
                    <w:textAlignment w:val="center"/>
                    <w:rPr>
                      <w:kern w:val="0"/>
                      <w:szCs w:val="21"/>
                    </w:rPr>
                  </w:pPr>
                  <w:r>
                    <w:rPr>
                      <w:rFonts w:eastAsia="等线"/>
                      <w:szCs w:val="21"/>
                    </w:rPr>
                    <w:t xml:space="preserve">37.0 </w:t>
                  </w:r>
                </w:p>
              </w:tc>
              <w:tc>
                <w:tcPr>
                  <w:tcW w:w="447" w:type="pct"/>
                  <w:vAlign w:val="center"/>
                </w:tcPr>
                <w:p>
                  <w:pPr>
                    <w:jc w:val="center"/>
                    <w:rPr>
                      <w:kern w:val="0"/>
                      <w:szCs w:val="21"/>
                    </w:rPr>
                  </w:pPr>
                  <w:r>
                    <w:rPr>
                      <w:rFonts w:eastAsia="等线"/>
                      <w:szCs w:val="21"/>
                    </w:rPr>
                    <w:t>5</w:t>
                  </w:r>
                </w:p>
              </w:tc>
              <w:tc>
                <w:tcPr>
                  <w:tcW w:w="534" w:type="pct"/>
                  <w:vAlign w:val="center"/>
                </w:tcPr>
                <w:p>
                  <w:pPr>
                    <w:widowControl/>
                    <w:jc w:val="center"/>
                    <w:textAlignment w:val="center"/>
                    <w:rPr>
                      <w:kern w:val="0"/>
                      <w:szCs w:val="21"/>
                    </w:rPr>
                  </w:pPr>
                  <w:r>
                    <w:rPr>
                      <w:rFonts w:eastAsia="等线"/>
                      <w:szCs w:val="21"/>
                    </w:rPr>
                    <w:t xml:space="preserve">51.0 </w:t>
                  </w:r>
                </w:p>
              </w:tc>
              <w:tc>
                <w:tcPr>
                  <w:tcW w:w="489" w:type="pct"/>
                  <w:vAlign w:val="center"/>
                </w:tcPr>
                <w:p>
                  <w:pPr>
                    <w:jc w:val="center"/>
                    <w:rPr>
                      <w:kern w:val="0"/>
                      <w:szCs w:val="21"/>
                    </w:rPr>
                  </w:pPr>
                  <w:r>
                    <w:rPr>
                      <w:rFonts w:eastAsia="等线"/>
                      <w:szCs w:val="21"/>
                    </w:rPr>
                    <w:t>15</w:t>
                  </w:r>
                </w:p>
              </w:tc>
              <w:tc>
                <w:tcPr>
                  <w:tcW w:w="533" w:type="pct"/>
                  <w:vAlign w:val="center"/>
                </w:tcPr>
                <w:p>
                  <w:pPr>
                    <w:widowControl/>
                    <w:jc w:val="center"/>
                    <w:textAlignment w:val="center"/>
                    <w:rPr>
                      <w:kern w:val="0"/>
                      <w:szCs w:val="21"/>
                    </w:rPr>
                  </w:pPr>
                  <w:r>
                    <w:rPr>
                      <w:rFonts w:eastAsia="等线"/>
                      <w:szCs w:val="21"/>
                    </w:rPr>
                    <w:t xml:space="preserve">41.5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14" w:type="pct"/>
                  <w:vAlign w:val="center"/>
                </w:tcPr>
                <w:p>
                  <w:pPr>
                    <w:jc w:val="center"/>
                    <w:rPr>
                      <w:kern w:val="0"/>
                      <w:szCs w:val="21"/>
                    </w:rPr>
                  </w:pPr>
                  <w:r>
                    <w:rPr>
                      <w:szCs w:val="21"/>
                    </w:rPr>
                    <w:t>高效制砂机</w:t>
                  </w:r>
                </w:p>
              </w:tc>
              <w:tc>
                <w:tcPr>
                  <w:tcW w:w="485" w:type="pct"/>
                  <w:vAlign w:val="center"/>
                </w:tcPr>
                <w:p>
                  <w:pPr>
                    <w:jc w:val="center"/>
                    <w:rPr>
                      <w:rFonts w:eastAsia="等线"/>
                      <w:kern w:val="0"/>
                      <w:szCs w:val="21"/>
                    </w:rPr>
                  </w:pPr>
                  <w:r>
                    <w:rPr>
                      <w:rFonts w:eastAsia="等线"/>
                      <w:szCs w:val="21"/>
                    </w:rPr>
                    <w:t>12</w:t>
                  </w:r>
                </w:p>
              </w:tc>
              <w:tc>
                <w:tcPr>
                  <w:tcW w:w="621" w:type="pct"/>
                  <w:vAlign w:val="center"/>
                </w:tcPr>
                <w:p>
                  <w:pPr>
                    <w:widowControl/>
                    <w:jc w:val="center"/>
                    <w:textAlignment w:val="center"/>
                    <w:rPr>
                      <w:kern w:val="0"/>
                      <w:szCs w:val="21"/>
                    </w:rPr>
                  </w:pPr>
                  <w:r>
                    <w:rPr>
                      <w:rFonts w:eastAsia="等线"/>
                      <w:szCs w:val="21"/>
                    </w:rPr>
                    <w:t xml:space="preserve">48.4 </w:t>
                  </w:r>
                </w:p>
              </w:tc>
              <w:tc>
                <w:tcPr>
                  <w:tcW w:w="491" w:type="pct"/>
                  <w:vAlign w:val="center"/>
                </w:tcPr>
                <w:p>
                  <w:pPr>
                    <w:jc w:val="center"/>
                    <w:rPr>
                      <w:kern w:val="0"/>
                      <w:szCs w:val="21"/>
                    </w:rPr>
                  </w:pPr>
                  <w:r>
                    <w:rPr>
                      <w:rFonts w:eastAsia="等线"/>
                      <w:szCs w:val="21"/>
                    </w:rPr>
                    <w:t>20</w:t>
                  </w:r>
                </w:p>
              </w:tc>
              <w:tc>
                <w:tcPr>
                  <w:tcW w:w="586" w:type="pct"/>
                  <w:vAlign w:val="center"/>
                </w:tcPr>
                <w:p>
                  <w:pPr>
                    <w:widowControl/>
                    <w:jc w:val="center"/>
                    <w:textAlignment w:val="center"/>
                    <w:rPr>
                      <w:kern w:val="0"/>
                      <w:szCs w:val="21"/>
                    </w:rPr>
                  </w:pPr>
                  <w:r>
                    <w:rPr>
                      <w:rFonts w:eastAsia="等线"/>
                      <w:szCs w:val="21"/>
                    </w:rPr>
                    <w:t xml:space="preserve">44.0 </w:t>
                  </w:r>
                </w:p>
              </w:tc>
              <w:tc>
                <w:tcPr>
                  <w:tcW w:w="447" w:type="pct"/>
                  <w:vAlign w:val="center"/>
                </w:tcPr>
                <w:p>
                  <w:pPr>
                    <w:jc w:val="center"/>
                    <w:rPr>
                      <w:kern w:val="0"/>
                      <w:szCs w:val="21"/>
                    </w:rPr>
                  </w:pPr>
                  <w:r>
                    <w:rPr>
                      <w:rFonts w:eastAsia="等线"/>
                      <w:szCs w:val="21"/>
                    </w:rPr>
                    <w:t>8</w:t>
                  </w:r>
                </w:p>
              </w:tc>
              <w:tc>
                <w:tcPr>
                  <w:tcW w:w="534" w:type="pct"/>
                  <w:vAlign w:val="center"/>
                </w:tcPr>
                <w:p>
                  <w:pPr>
                    <w:widowControl/>
                    <w:jc w:val="center"/>
                    <w:textAlignment w:val="center"/>
                    <w:rPr>
                      <w:kern w:val="0"/>
                      <w:szCs w:val="21"/>
                    </w:rPr>
                  </w:pPr>
                  <w:r>
                    <w:rPr>
                      <w:rFonts w:eastAsia="等线"/>
                      <w:szCs w:val="21"/>
                    </w:rPr>
                    <w:t xml:space="preserve">51.9 </w:t>
                  </w:r>
                </w:p>
              </w:tc>
              <w:tc>
                <w:tcPr>
                  <w:tcW w:w="489" w:type="pct"/>
                  <w:vAlign w:val="center"/>
                </w:tcPr>
                <w:p>
                  <w:pPr>
                    <w:jc w:val="center"/>
                    <w:rPr>
                      <w:kern w:val="0"/>
                      <w:szCs w:val="21"/>
                    </w:rPr>
                  </w:pPr>
                  <w:r>
                    <w:rPr>
                      <w:rFonts w:eastAsia="等线"/>
                      <w:szCs w:val="21"/>
                    </w:rPr>
                    <w:t>20</w:t>
                  </w:r>
                </w:p>
              </w:tc>
              <w:tc>
                <w:tcPr>
                  <w:tcW w:w="533" w:type="pct"/>
                  <w:vAlign w:val="center"/>
                </w:tcPr>
                <w:p>
                  <w:pPr>
                    <w:widowControl/>
                    <w:jc w:val="center"/>
                    <w:textAlignment w:val="center"/>
                    <w:rPr>
                      <w:kern w:val="0"/>
                      <w:szCs w:val="21"/>
                    </w:rPr>
                  </w:pPr>
                  <w:r>
                    <w:rPr>
                      <w:rFonts w:eastAsia="等线"/>
                      <w:szCs w:val="21"/>
                    </w:rPr>
                    <w:t xml:space="preserve">44.0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pct"/>
                  <w:vAlign w:val="center"/>
                </w:tcPr>
                <w:p>
                  <w:pPr>
                    <w:jc w:val="center"/>
                    <w:rPr>
                      <w:kern w:val="0"/>
                      <w:szCs w:val="21"/>
                    </w:rPr>
                  </w:pPr>
                  <w:r>
                    <w:rPr>
                      <w:szCs w:val="21"/>
                    </w:rPr>
                    <w:t>洗砂机</w:t>
                  </w:r>
                </w:p>
              </w:tc>
              <w:tc>
                <w:tcPr>
                  <w:tcW w:w="485" w:type="pct"/>
                  <w:vAlign w:val="center"/>
                </w:tcPr>
                <w:p>
                  <w:pPr>
                    <w:jc w:val="center"/>
                    <w:rPr>
                      <w:rFonts w:eastAsia="等线"/>
                      <w:kern w:val="0"/>
                      <w:szCs w:val="21"/>
                    </w:rPr>
                  </w:pPr>
                  <w:r>
                    <w:rPr>
                      <w:rFonts w:eastAsia="等线"/>
                      <w:szCs w:val="21"/>
                    </w:rPr>
                    <w:t>10</w:t>
                  </w:r>
                </w:p>
              </w:tc>
              <w:tc>
                <w:tcPr>
                  <w:tcW w:w="621" w:type="pct"/>
                  <w:vAlign w:val="center"/>
                </w:tcPr>
                <w:p>
                  <w:pPr>
                    <w:widowControl/>
                    <w:jc w:val="center"/>
                    <w:textAlignment w:val="center"/>
                    <w:rPr>
                      <w:kern w:val="0"/>
                      <w:szCs w:val="21"/>
                      <w:lang w:bidi="ar"/>
                    </w:rPr>
                  </w:pPr>
                  <w:r>
                    <w:rPr>
                      <w:rFonts w:eastAsia="等线"/>
                      <w:szCs w:val="21"/>
                    </w:rPr>
                    <w:t xml:space="preserve">35.0 </w:t>
                  </w:r>
                </w:p>
              </w:tc>
              <w:tc>
                <w:tcPr>
                  <w:tcW w:w="491" w:type="pct"/>
                  <w:vAlign w:val="center"/>
                </w:tcPr>
                <w:p>
                  <w:pPr>
                    <w:jc w:val="center"/>
                    <w:rPr>
                      <w:rFonts w:eastAsia="等线"/>
                      <w:kern w:val="0"/>
                      <w:szCs w:val="21"/>
                    </w:rPr>
                  </w:pPr>
                  <w:r>
                    <w:rPr>
                      <w:rFonts w:eastAsia="等线"/>
                      <w:szCs w:val="21"/>
                    </w:rPr>
                    <w:t>20</w:t>
                  </w:r>
                </w:p>
              </w:tc>
              <w:tc>
                <w:tcPr>
                  <w:tcW w:w="586" w:type="pct"/>
                  <w:vAlign w:val="center"/>
                </w:tcPr>
                <w:p>
                  <w:pPr>
                    <w:widowControl/>
                    <w:jc w:val="center"/>
                    <w:textAlignment w:val="center"/>
                    <w:rPr>
                      <w:kern w:val="0"/>
                      <w:szCs w:val="21"/>
                      <w:lang w:bidi="ar"/>
                    </w:rPr>
                  </w:pPr>
                  <w:r>
                    <w:rPr>
                      <w:rFonts w:eastAsia="等线"/>
                      <w:szCs w:val="21"/>
                    </w:rPr>
                    <w:t xml:space="preserve">29.0 </w:t>
                  </w:r>
                </w:p>
              </w:tc>
              <w:tc>
                <w:tcPr>
                  <w:tcW w:w="447" w:type="pct"/>
                  <w:vAlign w:val="center"/>
                </w:tcPr>
                <w:p>
                  <w:pPr>
                    <w:jc w:val="center"/>
                    <w:rPr>
                      <w:rFonts w:eastAsia="等线"/>
                      <w:kern w:val="0"/>
                      <w:szCs w:val="21"/>
                    </w:rPr>
                  </w:pPr>
                  <w:r>
                    <w:rPr>
                      <w:rFonts w:eastAsia="等线"/>
                      <w:szCs w:val="21"/>
                    </w:rPr>
                    <w:t>10</w:t>
                  </w:r>
                </w:p>
              </w:tc>
              <w:tc>
                <w:tcPr>
                  <w:tcW w:w="534" w:type="pct"/>
                  <w:vAlign w:val="center"/>
                </w:tcPr>
                <w:p>
                  <w:pPr>
                    <w:widowControl/>
                    <w:jc w:val="center"/>
                    <w:textAlignment w:val="center"/>
                    <w:rPr>
                      <w:kern w:val="0"/>
                      <w:szCs w:val="21"/>
                      <w:lang w:bidi="ar"/>
                    </w:rPr>
                  </w:pPr>
                  <w:r>
                    <w:rPr>
                      <w:rFonts w:eastAsia="等线"/>
                      <w:szCs w:val="21"/>
                    </w:rPr>
                    <w:t xml:space="preserve">35.0 </w:t>
                  </w:r>
                </w:p>
              </w:tc>
              <w:tc>
                <w:tcPr>
                  <w:tcW w:w="489" w:type="pct"/>
                  <w:vAlign w:val="center"/>
                </w:tcPr>
                <w:p>
                  <w:pPr>
                    <w:jc w:val="center"/>
                    <w:rPr>
                      <w:rFonts w:eastAsia="等线"/>
                      <w:kern w:val="0"/>
                      <w:szCs w:val="21"/>
                    </w:rPr>
                  </w:pPr>
                  <w:r>
                    <w:rPr>
                      <w:rFonts w:eastAsia="等线"/>
                      <w:szCs w:val="21"/>
                    </w:rPr>
                    <w:t>20</w:t>
                  </w:r>
                </w:p>
              </w:tc>
              <w:tc>
                <w:tcPr>
                  <w:tcW w:w="533" w:type="pct"/>
                  <w:vAlign w:val="center"/>
                </w:tcPr>
                <w:p>
                  <w:pPr>
                    <w:widowControl/>
                    <w:jc w:val="center"/>
                    <w:textAlignment w:val="center"/>
                    <w:rPr>
                      <w:kern w:val="0"/>
                      <w:szCs w:val="21"/>
                      <w:lang w:bidi="ar"/>
                    </w:rPr>
                  </w:pPr>
                  <w:r>
                    <w:rPr>
                      <w:rFonts w:eastAsia="等线"/>
                      <w:szCs w:val="21"/>
                    </w:rPr>
                    <w:t xml:space="preserve">29.0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pct"/>
                  <w:vAlign w:val="center"/>
                </w:tcPr>
                <w:p>
                  <w:pPr>
                    <w:jc w:val="center"/>
                    <w:rPr>
                      <w:kern w:val="0"/>
                      <w:szCs w:val="21"/>
                    </w:rPr>
                  </w:pPr>
                  <w:r>
                    <w:rPr>
                      <w:szCs w:val="21"/>
                    </w:rPr>
                    <w:t>皮带机</w:t>
                  </w:r>
                </w:p>
              </w:tc>
              <w:tc>
                <w:tcPr>
                  <w:tcW w:w="485" w:type="pct"/>
                  <w:vAlign w:val="center"/>
                </w:tcPr>
                <w:p>
                  <w:pPr>
                    <w:jc w:val="center"/>
                    <w:rPr>
                      <w:rFonts w:eastAsia="等线"/>
                      <w:kern w:val="0"/>
                      <w:szCs w:val="21"/>
                    </w:rPr>
                  </w:pPr>
                  <w:r>
                    <w:rPr>
                      <w:rFonts w:eastAsia="等线"/>
                      <w:szCs w:val="21"/>
                    </w:rPr>
                    <w:t>10</w:t>
                  </w:r>
                </w:p>
              </w:tc>
              <w:tc>
                <w:tcPr>
                  <w:tcW w:w="621" w:type="pct"/>
                  <w:vAlign w:val="center"/>
                </w:tcPr>
                <w:p>
                  <w:pPr>
                    <w:widowControl/>
                    <w:jc w:val="center"/>
                    <w:textAlignment w:val="center"/>
                    <w:rPr>
                      <w:kern w:val="0"/>
                      <w:szCs w:val="21"/>
                      <w:lang w:bidi="ar"/>
                    </w:rPr>
                  </w:pPr>
                  <w:r>
                    <w:rPr>
                      <w:rFonts w:eastAsia="等线"/>
                      <w:szCs w:val="21"/>
                    </w:rPr>
                    <w:t xml:space="preserve">35.0 </w:t>
                  </w:r>
                </w:p>
              </w:tc>
              <w:tc>
                <w:tcPr>
                  <w:tcW w:w="491" w:type="pct"/>
                  <w:vAlign w:val="center"/>
                </w:tcPr>
                <w:p>
                  <w:pPr>
                    <w:jc w:val="center"/>
                    <w:rPr>
                      <w:rFonts w:eastAsia="等线"/>
                      <w:kern w:val="0"/>
                      <w:szCs w:val="21"/>
                    </w:rPr>
                  </w:pPr>
                  <w:r>
                    <w:rPr>
                      <w:rFonts w:eastAsia="等线"/>
                      <w:szCs w:val="21"/>
                    </w:rPr>
                    <w:t>15</w:t>
                  </w:r>
                </w:p>
              </w:tc>
              <w:tc>
                <w:tcPr>
                  <w:tcW w:w="586" w:type="pct"/>
                  <w:vAlign w:val="center"/>
                </w:tcPr>
                <w:p>
                  <w:pPr>
                    <w:widowControl/>
                    <w:jc w:val="center"/>
                    <w:textAlignment w:val="center"/>
                    <w:rPr>
                      <w:kern w:val="0"/>
                      <w:szCs w:val="21"/>
                      <w:lang w:bidi="ar"/>
                    </w:rPr>
                  </w:pPr>
                  <w:r>
                    <w:rPr>
                      <w:rFonts w:eastAsia="等线"/>
                      <w:szCs w:val="21"/>
                    </w:rPr>
                    <w:t xml:space="preserve">31.5 </w:t>
                  </w:r>
                </w:p>
              </w:tc>
              <w:tc>
                <w:tcPr>
                  <w:tcW w:w="447" w:type="pct"/>
                  <w:vAlign w:val="center"/>
                </w:tcPr>
                <w:p>
                  <w:pPr>
                    <w:jc w:val="center"/>
                    <w:rPr>
                      <w:rFonts w:eastAsia="等线"/>
                      <w:kern w:val="0"/>
                      <w:szCs w:val="21"/>
                    </w:rPr>
                  </w:pPr>
                  <w:r>
                    <w:rPr>
                      <w:rFonts w:eastAsia="等线"/>
                      <w:szCs w:val="21"/>
                    </w:rPr>
                    <w:t>10</w:t>
                  </w:r>
                </w:p>
              </w:tc>
              <w:tc>
                <w:tcPr>
                  <w:tcW w:w="534" w:type="pct"/>
                  <w:vAlign w:val="center"/>
                </w:tcPr>
                <w:p>
                  <w:pPr>
                    <w:widowControl/>
                    <w:jc w:val="center"/>
                    <w:textAlignment w:val="center"/>
                    <w:rPr>
                      <w:kern w:val="0"/>
                      <w:szCs w:val="21"/>
                      <w:lang w:bidi="ar"/>
                    </w:rPr>
                  </w:pPr>
                  <w:r>
                    <w:rPr>
                      <w:rFonts w:eastAsia="等线"/>
                      <w:szCs w:val="21"/>
                    </w:rPr>
                    <w:t xml:space="preserve">35.0 </w:t>
                  </w:r>
                </w:p>
              </w:tc>
              <w:tc>
                <w:tcPr>
                  <w:tcW w:w="489" w:type="pct"/>
                  <w:vAlign w:val="center"/>
                </w:tcPr>
                <w:p>
                  <w:pPr>
                    <w:jc w:val="center"/>
                    <w:rPr>
                      <w:rFonts w:eastAsia="等线"/>
                      <w:kern w:val="0"/>
                      <w:szCs w:val="21"/>
                    </w:rPr>
                  </w:pPr>
                  <w:r>
                    <w:rPr>
                      <w:rFonts w:eastAsia="等线"/>
                      <w:szCs w:val="21"/>
                    </w:rPr>
                    <w:t>25</w:t>
                  </w:r>
                </w:p>
              </w:tc>
              <w:tc>
                <w:tcPr>
                  <w:tcW w:w="533" w:type="pct"/>
                  <w:vAlign w:val="center"/>
                </w:tcPr>
                <w:p>
                  <w:pPr>
                    <w:widowControl/>
                    <w:jc w:val="center"/>
                    <w:textAlignment w:val="center"/>
                    <w:rPr>
                      <w:kern w:val="0"/>
                      <w:szCs w:val="21"/>
                      <w:lang w:bidi="ar"/>
                    </w:rPr>
                  </w:pPr>
                  <w:r>
                    <w:rPr>
                      <w:rFonts w:eastAsia="等线"/>
                      <w:szCs w:val="21"/>
                    </w:rPr>
                    <w:t xml:space="preserve">27.0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pct"/>
                  <w:vAlign w:val="center"/>
                </w:tcPr>
                <w:p>
                  <w:pPr>
                    <w:jc w:val="center"/>
                    <w:rPr>
                      <w:szCs w:val="21"/>
                    </w:rPr>
                  </w:pPr>
                  <w:r>
                    <w:rPr>
                      <w:rFonts w:hint="eastAsia"/>
                      <w:szCs w:val="21"/>
                    </w:rPr>
                    <w:t>厂界贡献值</w:t>
                  </w:r>
                </w:p>
              </w:tc>
              <w:tc>
                <w:tcPr>
                  <w:tcW w:w="485" w:type="pct"/>
                  <w:vAlign w:val="center"/>
                </w:tcPr>
                <w:p>
                  <w:pPr>
                    <w:jc w:val="center"/>
                    <w:rPr>
                      <w:rFonts w:eastAsia="等线"/>
                      <w:szCs w:val="21"/>
                    </w:rPr>
                  </w:pPr>
                  <w:r>
                    <w:rPr>
                      <w:rFonts w:hint="eastAsia" w:eastAsia="等线"/>
                      <w:szCs w:val="21"/>
                    </w:rPr>
                    <w:t>/</w:t>
                  </w:r>
                </w:p>
              </w:tc>
              <w:tc>
                <w:tcPr>
                  <w:tcW w:w="621" w:type="pct"/>
                  <w:vAlign w:val="center"/>
                </w:tcPr>
                <w:p>
                  <w:pPr>
                    <w:widowControl/>
                    <w:jc w:val="center"/>
                    <w:textAlignment w:val="center"/>
                    <w:rPr>
                      <w:rFonts w:eastAsia="等线"/>
                      <w:szCs w:val="21"/>
                    </w:rPr>
                  </w:pPr>
                  <w:r>
                    <w:rPr>
                      <w:rFonts w:hint="eastAsia" w:eastAsia="等线"/>
                      <w:szCs w:val="21"/>
                    </w:rPr>
                    <w:t>5</w:t>
                  </w:r>
                  <w:r>
                    <w:rPr>
                      <w:rFonts w:eastAsia="等线"/>
                      <w:szCs w:val="21"/>
                    </w:rPr>
                    <w:t>4.1</w:t>
                  </w:r>
                </w:p>
              </w:tc>
              <w:tc>
                <w:tcPr>
                  <w:tcW w:w="491" w:type="pct"/>
                  <w:vAlign w:val="center"/>
                </w:tcPr>
                <w:p>
                  <w:pPr>
                    <w:jc w:val="center"/>
                    <w:rPr>
                      <w:rFonts w:eastAsia="等线"/>
                      <w:szCs w:val="21"/>
                    </w:rPr>
                  </w:pPr>
                  <w:r>
                    <w:rPr>
                      <w:rFonts w:hint="eastAsia" w:eastAsia="等线"/>
                      <w:szCs w:val="21"/>
                    </w:rPr>
                    <w:t>/</w:t>
                  </w:r>
                </w:p>
              </w:tc>
              <w:tc>
                <w:tcPr>
                  <w:tcW w:w="586" w:type="pct"/>
                  <w:vAlign w:val="center"/>
                </w:tcPr>
                <w:p>
                  <w:pPr>
                    <w:widowControl/>
                    <w:jc w:val="center"/>
                    <w:textAlignment w:val="center"/>
                    <w:rPr>
                      <w:rFonts w:eastAsia="等线"/>
                      <w:szCs w:val="21"/>
                    </w:rPr>
                  </w:pPr>
                  <w:r>
                    <w:rPr>
                      <w:rFonts w:hint="eastAsia" w:eastAsia="等线"/>
                      <w:szCs w:val="21"/>
                    </w:rPr>
                    <w:t>4</w:t>
                  </w:r>
                  <w:r>
                    <w:rPr>
                      <w:rFonts w:eastAsia="等线"/>
                      <w:szCs w:val="21"/>
                    </w:rPr>
                    <w:t>8.0</w:t>
                  </w:r>
                </w:p>
              </w:tc>
              <w:tc>
                <w:tcPr>
                  <w:tcW w:w="447" w:type="pct"/>
                  <w:vAlign w:val="center"/>
                </w:tcPr>
                <w:p>
                  <w:pPr>
                    <w:jc w:val="center"/>
                    <w:rPr>
                      <w:rFonts w:eastAsia="等线"/>
                      <w:szCs w:val="21"/>
                    </w:rPr>
                  </w:pPr>
                  <w:r>
                    <w:rPr>
                      <w:rFonts w:hint="eastAsia" w:eastAsia="等线"/>
                      <w:szCs w:val="21"/>
                    </w:rPr>
                    <w:t>/</w:t>
                  </w:r>
                </w:p>
              </w:tc>
              <w:tc>
                <w:tcPr>
                  <w:tcW w:w="534" w:type="pct"/>
                  <w:vAlign w:val="center"/>
                </w:tcPr>
                <w:p>
                  <w:pPr>
                    <w:widowControl/>
                    <w:jc w:val="center"/>
                    <w:textAlignment w:val="center"/>
                    <w:rPr>
                      <w:rFonts w:eastAsia="等线"/>
                      <w:szCs w:val="21"/>
                    </w:rPr>
                  </w:pPr>
                  <w:r>
                    <w:rPr>
                      <w:rFonts w:hint="eastAsia" w:eastAsia="等线"/>
                      <w:szCs w:val="21"/>
                    </w:rPr>
                    <w:t>5</w:t>
                  </w:r>
                  <w:r>
                    <w:rPr>
                      <w:rFonts w:eastAsia="等线"/>
                      <w:szCs w:val="21"/>
                    </w:rPr>
                    <w:t>8.2</w:t>
                  </w:r>
                </w:p>
              </w:tc>
              <w:tc>
                <w:tcPr>
                  <w:tcW w:w="489" w:type="pct"/>
                  <w:vAlign w:val="center"/>
                </w:tcPr>
                <w:p>
                  <w:pPr>
                    <w:jc w:val="center"/>
                    <w:rPr>
                      <w:rFonts w:eastAsia="等线"/>
                      <w:szCs w:val="21"/>
                    </w:rPr>
                  </w:pPr>
                  <w:r>
                    <w:rPr>
                      <w:rFonts w:hint="eastAsia" w:eastAsia="等线"/>
                      <w:szCs w:val="21"/>
                    </w:rPr>
                    <w:t>/</w:t>
                  </w:r>
                </w:p>
              </w:tc>
              <w:tc>
                <w:tcPr>
                  <w:tcW w:w="533" w:type="pct"/>
                  <w:vAlign w:val="center"/>
                </w:tcPr>
                <w:p>
                  <w:pPr>
                    <w:widowControl/>
                    <w:jc w:val="center"/>
                    <w:textAlignment w:val="center"/>
                    <w:rPr>
                      <w:rFonts w:eastAsia="等线"/>
                      <w:szCs w:val="21"/>
                    </w:rPr>
                  </w:pPr>
                  <w:r>
                    <w:rPr>
                      <w:rFonts w:hint="eastAsia" w:eastAsia="等线"/>
                      <w:szCs w:val="21"/>
                    </w:rPr>
                    <w:t>5</w:t>
                  </w:r>
                  <w:r>
                    <w:rPr>
                      <w:rFonts w:eastAsia="等线"/>
                      <w:szCs w:val="21"/>
                    </w:rPr>
                    <w:t>5.1</w:t>
                  </w:r>
                </w:p>
              </w:tc>
            </w:tr>
          </w:tbl>
          <w:p>
            <w:pPr>
              <w:pStyle w:val="13"/>
              <w:spacing w:line="360" w:lineRule="auto"/>
              <w:ind w:firstLine="480" w:firstLineChars="200"/>
              <w:jc w:val="left"/>
            </w:pPr>
            <w:r>
              <w:rPr>
                <w:rFonts w:hint="eastAsia"/>
              </w:rPr>
              <w:t>项目运营期生产活动仅在昼间进行，夜间不进行生产活动。在不考虑大气吸收、地面效应、障碍物屏蔽、其它多方面效应引起的衰减，仅考虑几何发散引起的衰减时，全厂运营期昼间厂界处噪声排放值为在</w:t>
            </w:r>
            <w:r>
              <w:t>48.0</w:t>
            </w:r>
            <w:r>
              <w:rPr>
                <w:rFonts w:hint="eastAsia"/>
              </w:rPr>
              <w:t>~</w:t>
            </w:r>
            <w:r>
              <w:t>58.2</w:t>
            </w:r>
            <w:r>
              <w:rPr>
                <w:rFonts w:hint="eastAsia"/>
              </w:rPr>
              <w:t>B（A）之间，满足《工业企业场界环境噪声排放标准》（GB 12348-2008）2功能区限值要求，项目运营期厂界噪声可做到达标排放，对外环境造成的影响可被接受。</w:t>
            </w:r>
          </w:p>
          <w:p>
            <w:pPr>
              <w:pStyle w:val="13"/>
              <w:spacing w:line="360" w:lineRule="auto"/>
              <w:ind w:firstLine="480" w:firstLineChars="200"/>
              <w:jc w:val="left"/>
            </w:pPr>
            <w:r>
              <w:rPr>
                <w:rFonts w:hint="eastAsia"/>
              </w:rPr>
              <w:t>考虑项目运营期部分生产设备采用彩钢瓦进行密封处置，内部加强绿化种植，厂界外围植被浓密，植株高大，噪声在传播过程中经大气吸收、地面效应、障碍物屏蔽及其它多方面效应会引起衰减，实际运行过程中厂界噪声排放值理论上低于本次预测值，故运营期厂界噪声可做到稳定达标，不会对区域声环境质量造成太大影响，不会改变区域声环境功能。</w:t>
            </w:r>
          </w:p>
          <w:p>
            <w:pPr>
              <w:pStyle w:val="13"/>
              <w:spacing w:line="360" w:lineRule="auto"/>
              <w:ind w:firstLine="0"/>
              <w:jc w:val="left"/>
              <w:rPr>
                <w:b/>
                <w:bCs/>
              </w:rPr>
            </w:pPr>
            <w:r>
              <w:rPr>
                <w:rFonts w:hint="eastAsia"/>
                <w:b/>
                <w:bCs/>
              </w:rPr>
              <w:t>3、运输沿线声环境影响分析</w:t>
            </w:r>
          </w:p>
          <w:p>
            <w:pPr>
              <w:pStyle w:val="13"/>
              <w:spacing w:line="360" w:lineRule="auto"/>
              <w:ind w:firstLine="480" w:firstLineChars="200"/>
              <w:jc w:val="left"/>
            </w:pPr>
            <w:r>
              <w:rPr>
                <w:rFonts w:hint="eastAsia"/>
              </w:rPr>
              <w:t>根据项目工程特征，项目原辅材料及成品运输过程中，会对沿线两侧区域声环境造成一定影响，评价建议采取如下噪声防治措施：</w:t>
            </w:r>
          </w:p>
          <w:p>
            <w:pPr>
              <w:pStyle w:val="13"/>
              <w:spacing w:line="360" w:lineRule="auto"/>
              <w:ind w:firstLine="480" w:firstLineChars="200"/>
              <w:jc w:val="left"/>
            </w:pPr>
            <w:r>
              <w:rPr>
                <w:rFonts w:hint="eastAsia"/>
              </w:rPr>
              <w:t>（1）严禁车辆超速、超载、超高运输，在经过集中居民区时应低速行驶，并严禁鸣笛；特别是经过学校路段，应尽量避开早中晚的上下学高峰期，在其他时间段应尽量减速行驶，禁止鸣笛。</w:t>
            </w:r>
          </w:p>
          <w:p>
            <w:pPr>
              <w:pStyle w:val="13"/>
              <w:spacing w:line="360" w:lineRule="auto"/>
              <w:ind w:firstLine="480" w:firstLineChars="200"/>
              <w:jc w:val="left"/>
            </w:pPr>
            <w:r>
              <w:rPr>
                <w:rFonts w:hint="eastAsia"/>
              </w:rPr>
              <w:t>（2）采用加盖运输车辆运输砂料；</w:t>
            </w:r>
          </w:p>
          <w:p>
            <w:pPr>
              <w:pStyle w:val="13"/>
              <w:spacing w:line="360" w:lineRule="auto"/>
              <w:ind w:firstLine="480" w:firstLineChars="200"/>
              <w:jc w:val="left"/>
            </w:pPr>
            <w:r>
              <w:rPr>
                <w:rFonts w:hint="eastAsia"/>
              </w:rPr>
              <w:t>（3）合理安排作业时间，物料运输尽量安排在白天进行；</w:t>
            </w:r>
          </w:p>
          <w:p>
            <w:pPr>
              <w:pStyle w:val="13"/>
              <w:spacing w:line="360" w:lineRule="auto"/>
              <w:ind w:firstLine="480" w:firstLineChars="200"/>
              <w:jc w:val="left"/>
            </w:pPr>
            <w:r>
              <w:rPr>
                <w:rFonts w:hint="eastAsia"/>
              </w:rPr>
              <w:t>（4）加强对运输车辆的日常维护，避免因故障运行而产生高强度噪声；</w:t>
            </w:r>
          </w:p>
          <w:p>
            <w:pPr>
              <w:pStyle w:val="13"/>
              <w:spacing w:line="360" w:lineRule="auto"/>
              <w:ind w:firstLine="480" w:firstLineChars="200"/>
              <w:jc w:val="left"/>
            </w:pPr>
            <w:r>
              <w:rPr>
                <w:rFonts w:hint="eastAsia"/>
              </w:rPr>
              <w:t>（5）加强运输道路的维护，对路面破损路段进行硬化修复。</w:t>
            </w:r>
          </w:p>
          <w:p>
            <w:pPr>
              <w:pStyle w:val="13"/>
              <w:spacing w:line="360" w:lineRule="auto"/>
              <w:ind w:firstLine="480" w:firstLineChars="200"/>
              <w:jc w:val="left"/>
            </w:pPr>
            <w:r>
              <w:rPr>
                <w:rFonts w:hint="eastAsia"/>
              </w:rPr>
              <w:t>在采取上述措施后，项目运营期物料运输过程中噪声可被有效控制，运输噪声随会对道路沿线两侧区域声环境造成一定影响，但考虑运输噪声源随运输车辆移动而移动，呈间歇式排放，且排放时间较短，经道路两侧绿植吸收后，对外环境的影响在可接受范围内。</w:t>
            </w:r>
          </w:p>
          <w:p>
            <w:pPr>
              <w:pStyle w:val="13"/>
              <w:spacing w:line="360" w:lineRule="auto"/>
              <w:ind w:firstLine="0"/>
              <w:jc w:val="left"/>
              <w:rPr>
                <w:b/>
                <w:bCs/>
              </w:rPr>
            </w:pPr>
            <w:r>
              <w:rPr>
                <w:b/>
                <w:bCs/>
              </w:rPr>
              <w:t>4、噪声</w:t>
            </w:r>
            <w:r>
              <w:rPr>
                <w:rFonts w:hint="eastAsia"/>
                <w:b/>
                <w:bCs/>
              </w:rPr>
              <w:t>控制措施</w:t>
            </w:r>
          </w:p>
          <w:p>
            <w:pPr>
              <w:pStyle w:val="13"/>
              <w:spacing w:line="360" w:lineRule="auto"/>
              <w:ind w:firstLine="480" w:firstLineChars="200"/>
              <w:jc w:val="left"/>
            </w:pPr>
            <w:r>
              <w:rPr>
                <w:rFonts w:hint="eastAsia"/>
              </w:rPr>
              <w:t>本次评价建议建设单位采取合理有效的措施减少项目运营期噪声排放对区域声环境造成的影响，具体措施如下：</w:t>
            </w:r>
          </w:p>
          <w:p>
            <w:pPr>
              <w:pStyle w:val="13"/>
              <w:spacing w:line="360" w:lineRule="auto"/>
              <w:ind w:firstLine="480" w:firstLineChars="200"/>
              <w:jc w:val="left"/>
            </w:pPr>
            <w:r>
              <w:rPr>
                <w:rFonts w:hint="eastAsia"/>
              </w:rPr>
              <w:t>（1）总平面布置：从总平面布置的角度出发，将破碎设施设置于厂区西侧靠北的位置，并在周围种植绿化带，以阻隔噪声的传播和干扰。同时在工厂总体布置上利用建筑物、构筑物来阻隔声波的传播。</w:t>
            </w:r>
          </w:p>
          <w:p>
            <w:pPr>
              <w:pStyle w:val="13"/>
              <w:spacing w:line="360" w:lineRule="auto"/>
              <w:ind w:firstLine="480" w:firstLineChars="200"/>
              <w:jc w:val="left"/>
            </w:pPr>
            <w:r>
              <w:rPr>
                <w:rFonts w:hint="eastAsia"/>
              </w:rPr>
              <w:t>（2）加强治理：项目应选用低噪声设备，并设置减震基础，对于输送配套设施设置封闭机房。具体到主要生产设施的防治措施具体如下:</w:t>
            </w:r>
          </w:p>
          <w:p>
            <w:pPr>
              <w:pStyle w:val="13"/>
              <w:spacing w:line="360" w:lineRule="auto"/>
              <w:ind w:firstLine="480" w:firstLineChars="200"/>
              <w:jc w:val="left"/>
            </w:pPr>
            <w:r>
              <w:rPr>
                <w:rFonts w:hint="eastAsia" w:ascii="宋体" w:hAnsi="宋体"/>
              </w:rPr>
              <w:t>①</w:t>
            </w:r>
            <w:r>
              <w:rPr>
                <w:rFonts w:hint="eastAsia"/>
              </w:rPr>
              <w:t>破碎机、振动筛、制砂机为主要生产单元，因此在设备选型时尽量选择噪声低的设备，在生产运转时必须定期对其进行检查，保证设备正常运转。</w:t>
            </w:r>
          </w:p>
          <w:p>
            <w:pPr>
              <w:pStyle w:val="13"/>
              <w:spacing w:line="360" w:lineRule="auto"/>
              <w:ind w:firstLine="480" w:firstLineChars="200"/>
              <w:jc w:val="left"/>
            </w:pPr>
            <w:r>
              <w:rPr>
                <w:rFonts w:hint="eastAsia" w:ascii="宋体" w:hAnsi="宋体"/>
              </w:rPr>
              <w:t>②</w:t>
            </w:r>
            <w:r>
              <w:rPr>
                <w:rFonts w:hint="eastAsia"/>
              </w:rPr>
              <w:t>皮带输送机为输送主要设备，该设备连接各个生产单元，采用动力传控，因此在设备选型时尽量选择噪声低的设备，在生产时定期在滚轴处加润滑油，从而减少摩擦噪声产生。</w:t>
            </w:r>
          </w:p>
          <w:p>
            <w:pPr>
              <w:pStyle w:val="13"/>
              <w:spacing w:line="360" w:lineRule="auto"/>
              <w:ind w:firstLine="480" w:firstLineChars="200"/>
              <w:jc w:val="left"/>
            </w:pPr>
            <w:r>
              <w:rPr>
                <w:rFonts w:hint="eastAsia" w:ascii="宋体" w:hAnsi="宋体"/>
              </w:rPr>
              <w:t>③</w:t>
            </w:r>
            <w:r>
              <w:rPr>
                <w:rFonts w:hint="eastAsia"/>
              </w:rPr>
              <w:t>根据调查，当车辆在平滑路面行驶时其噪声值较坑洼路面行驶时的噪声值要低15dB（A），因此要求企业修筑平滑路面，尽量减小路面坡度，这样可大大减轻车辆在启动及行驶过程发动机轰鸣噪声。</w:t>
            </w:r>
          </w:p>
          <w:p>
            <w:pPr>
              <w:pStyle w:val="13"/>
              <w:spacing w:line="360" w:lineRule="auto"/>
              <w:ind w:firstLine="480" w:firstLineChars="200"/>
              <w:jc w:val="left"/>
            </w:pPr>
            <w:r>
              <w:rPr>
                <w:rFonts w:hint="eastAsia"/>
              </w:rPr>
              <w:t>（</w:t>
            </w:r>
            <w:r>
              <w:t>3</w:t>
            </w:r>
            <w:r>
              <w:rPr>
                <w:rFonts w:hint="eastAsia"/>
              </w:rPr>
              <w:t>）加强管理：建立设备定期维护，保养的管理制度，以防止设备故障形成的非正常生产噪声，同时确保环保措施发挥最佳有效的功能；加强职工环保意识教育，提倡文明生产，防止人为噪声；强化行车管理制度，设置降噪标准，严禁鸣号，进入厂区低速行驶，最大限度减少流动噪声源。</w:t>
            </w:r>
          </w:p>
          <w:p>
            <w:pPr>
              <w:pStyle w:val="13"/>
              <w:spacing w:line="360" w:lineRule="auto"/>
              <w:ind w:firstLine="480" w:firstLineChars="200"/>
              <w:jc w:val="left"/>
            </w:pPr>
            <w:r>
              <w:rPr>
                <w:rFonts w:hint="eastAsia"/>
              </w:rPr>
              <w:t>（4）加强厂区绿化：在本项目厂内各噪声源与厂界设置隔离带，在隔离带种植花草树木，进行厂区绿化，厂内各噪声源与厂界设置至少1m的隔离带，并建挡墙，以进一步减轻设备噪声对环境的影响。</w:t>
            </w:r>
          </w:p>
          <w:p>
            <w:pPr>
              <w:pStyle w:val="13"/>
              <w:spacing w:line="360" w:lineRule="auto"/>
              <w:ind w:firstLine="480" w:firstLineChars="200"/>
              <w:jc w:val="left"/>
            </w:pPr>
            <w:r>
              <w:rPr>
                <w:rFonts w:hint="eastAsia"/>
              </w:rPr>
              <w:t>（5）生产时间安排：项目应安排在昼间进行生产，严禁夜间及午休时间生产。</w:t>
            </w:r>
          </w:p>
          <w:p>
            <w:pPr>
              <w:pStyle w:val="13"/>
              <w:spacing w:line="360" w:lineRule="auto"/>
              <w:ind w:firstLine="0"/>
              <w:jc w:val="left"/>
              <w:rPr>
                <w:b/>
                <w:bCs/>
              </w:rPr>
            </w:pPr>
            <w:r>
              <w:rPr>
                <w:b/>
                <w:bCs/>
              </w:rPr>
              <w:t>5、噪声监测计划</w:t>
            </w:r>
          </w:p>
          <w:p>
            <w:pPr>
              <w:pStyle w:val="13"/>
              <w:spacing w:line="360" w:lineRule="auto"/>
              <w:ind w:firstLine="480" w:firstLineChars="200"/>
              <w:jc w:val="left"/>
            </w:pPr>
            <w:r>
              <w:t>根据《排污单位自行监测技术指南 总则》（HJ819-2017）</w:t>
            </w:r>
            <w:r>
              <w:rPr>
                <w:rFonts w:hint="eastAsia"/>
              </w:rPr>
              <w:t>、</w:t>
            </w:r>
            <w:r>
              <w:rPr>
                <w:rFonts w:hint="eastAsia"/>
                <w:szCs w:val="21"/>
              </w:rPr>
              <w:t>《排污单位自行监测技术指南 砖瓦工业》（HJ</w:t>
            </w:r>
            <w:r>
              <w:rPr>
                <w:szCs w:val="21"/>
              </w:rPr>
              <w:t xml:space="preserve"> 1254-2022</w:t>
            </w:r>
            <w:r>
              <w:rPr>
                <w:rFonts w:hint="eastAsia"/>
                <w:szCs w:val="21"/>
              </w:rPr>
              <w:t>）</w:t>
            </w:r>
            <w:r>
              <w:t>相关要求，</w:t>
            </w:r>
            <w:r>
              <w:rPr>
                <w:rFonts w:hint="eastAsia"/>
              </w:rPr>
              <w:t>项目</w:t>
            </w:r>
            <w:r>
              <w:t>运行期噪声监测计划详见下表：</w:t>
            </w:r>
          </w:p>
          <w:p>
            <w:pPr>
              <w:pStyle w:val="13"/>
              <w:spacing w:line="240" w:lineRule="auto"/>
              <w:ind w:firstLine="0"/>
              <w:jc w:val="center"/>
              <w:rPr>
                <w:b/>
                <w:bCs/>
              </w:rPr>
            </w:pPr>
            <w:r>
              <w:rPr>
                <w:b/>
                <w:bCs/>
              </w:rPr>
              <w:t>表4.8-3  运行期噪声监测计划一览表</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8"/>
              <w:gridCol w:w="2262"/>
              <w:gridCol w:w="2261"/>
              <w:gridCol w:w="2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vAlign w:val="center"/>
                </w:tcPr>
                <w:p>
                  <w:pPr>
                    <w:pStyle w:val="13"/>
                    <w:spacing w:line="240" w:lineRule="auto"/>
                    <w:ind w:firstLine="0"/>
                    <w:jc w:val="center"/>
                    <w:rPr>
                      <w:b/>
                      <w:bCs/>
                      <w:sz w:val="21"/>
                      <w:szCs w:val="21"/>
                    </w:rPr>
                  </w:pPr>
                  <w:r>
                    <w:rPr>
                      <w:b/>
                      <w:bCs/>
                      <w:sz w:val="21"/>
                      <w:szCs w:val="21"/>
                    </w:rPr>
                    <w:t>监测对象</w:t>
                  </w:r>
                </w:p>
              </w:tc>
              <w:tc>
                <w:tcPr>
                  <w:tcW w:w="2262" w:type="dxa"/>
                  <w:vAlign w:val="center"/>
                </w:tcPr>
                <w:p>
                  <w:pPr>
                    <w:pStyle w:val="13"/>
                    <w:spacing w:line="240" w:lineRule="auto"/>
                    <w:ind w:firstLine="0"/>
                    <w:jc w:val="center"/>
                    <w:rPr>
                      <w:b/>
                      <w:bCs/>
                      <w:sz w:val="21"/>
                      <w:szCs w:val="21"/>
                    </w:rPr>
                  </w:pPr>
                  <w:r>
                    <w:rPr>
                      <w:b/>
                      <w:bCs/>
                      <w:sz w:val="21"/>
                      <w:szCs w:val="21"/>
                    </w:rPr>
                    <w:t>监测因子</w:t>
                  </w:r>
                </w:p>
              </w:tc>
              <w:tc>
                <w:tcPr>
                  <w:tcW w:w="2261" w:type="dxa"/>
                  <w:vAlign w:val="center"/>
                </w:tcPr>
                <w:p>
                  <w:pPr>
                    <w:pStyle w:val="13"/>
                    <w:spacing w:line="240" w:lineRule="auto"/>
                    <w:ind w:firstLine="0"/>
                    <w:jc w:val="center"/>
                    <w:rPr>
                      <w:b/>
                      <w:bCs/>
                      <w:sz w:val="21"/>
                      <w:szCs w:val="21"/>
                    </w:rPr>
                  </w:pPr>
                  <w:r>
                    <w:rPr>
                      <w:b/>
                      <w:bCs/>
                      <w:sz w:val="21"/>
                      <w:szCs w:val="21"/>
                    </w:rPr>
                    <w:t>监测点位</w:t>
                  </w:r>
                </w:p>
              </w:tc>
              <w:tc>
                <w:tcPr>
                  <w:tcW w:w="2629" w:type="dxa"/>
                  <w:vAlign w:val="center"/>
                </w:tcPr>
                <w:p>
                  <w:pPr>
                    <w:pStyle w:val="13"/>
                    <w:spacing w:line="240" w:lineRule="auto"/>
                    <w:ind w:firstLine="0"/>
                    <w:jc w:val="center"/>
                    <w:rPr>
                      <w:b/>
                      <w:bCs/>
                      <w:sz w:val="21"/>
                      <w:szCs w:val="21"/>
                    </w:rPr>
                  </w:pPr>
                  <w:r>
                    <w:rPr>
                      <w:b/>
                      <w:bCs/>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vAlign w:val="center"/>
                </w:tcPr>
                <w:p>
                  <w:pPr>
                    <w:pStyle w:val="13"/>
                    <w:spacing w:line="240" w:lineRule="auto"/>
                    <w:ind w:firstLine="0"/>
                    <w:jc w:val="center"/>
                    <w:rPr>
                      <w:sz w:val="21"/>
                      <w:szCs w:val="21"/>
                    </w:rPr>
                  </w:pPr>
                  <w:r>
                    <w:rPr>
                      <w:sz w:val="21"/>
                      <w:szCs w:val="21"/>
                    </w:rPr>
                    <w:t>厂界噪声</w:t>
                  </w:r>
                </w:p>
              </w:tc>
              <w:tc>
                <w:tcPr>
                  <w:tcW w:w="2262" w:type="dxa"/>
                  <w:vAlign w:val="center"/>
                </w:tcPr>
                <w:p>
                  <w:pPr>
                    <w:pStyle w:val="13"/>
                    <w:spacing w:line="240" w:lineRule="auto"/>
                    <w:ind w:firstLine="0"/>
                    <w:jc w:val="center"/>
                    <w:rPr>
                      <w:sz w:val="21"/>
                      <w:szCs w:val="21"/>
                    </w:rPr>
                  </w:pPr>
                  <w:r>
                    <w:rPr>
                      <w:sz w:val="21"/>
                      <w:szCs w:val="21"/>
                    </w:rPr>
                    <w:t>等效连续A声级Leq</w:t>
                  </w:r>
                </w:p>
              </w:tc>
              <w:tc>
                <w:tcPr>
                  <w:tcW w:w="2261" w:type="dxa"/>
                  <w:vAlign w:val="center"/>
                </w:tcPr>
                <w:p>
                  <w:pPr>
                    <w:pStyle w:val="13"/>
                    <w:spacing w:line="240" w:lineRule="auto"/>
                    <w:ind w:firstLine="0"/>
                    <w:jc w:val="center"/>
                    <w:rPr>
                      <w:sz w:val="21"/>
                      <w:szCs w:val="21"/>
                    </w:rPr>
                  </w:pPr>
                  <w:r>
                    <w:rPr>
                      <w:sz w:val="21"/>
                      <w:szCs w:val="21"/>
                    </w:rPr>
                    <w:t>东、南、西、北厂界各设1个监测点</w:t>
                  </w:r>
                </w:p>
              </w:tc>
              <w:tc>
                <w:tcPr>
                  <w:tcW w:w="2629" w:type="dxa"/>
                  <w:vAlign w:val="center"/>
                </w:tcPr>
                <w:p>
                  <w:pPr>
                    <w:pStyle w:val="13"/>
                    <w:spacing w:line="240" w:lineRule="auto"/>
                    <w:ind w:firstLine="0"/>
                    <w:jc w:val="center"/>
                    <w:rPr>
                      <w:sz w:val="21"/>
                      <w:szCs w:val="21"/>
                    </w:rPr>
                  </w:pPr>
                  <w:r>
                    <w:rPr>
                      <w:sz w:val="21"/>
                      <w:szCs w:val="21"/>
                    </w:rPr>
                    <w:t>每季度1次，每次1天、昼夜各一次</w:t>
                  </w:r>
                </w:p>
              </w:tc>
            </w:tr>
          </w:tbl>
          <w:p>
            <w:pPr>
              <w:pStyle w:val="13"/>
              <w:spacing w:line="360" w:lineRule="auto"/>
              <w:ind w:firstLine="0"/>
              <w:jc w:val="left"/>
              <w:rPr>
                <w:b/>
                <w:bCs/>
              </w:rPr>
            </w:pPr>
            <w:bookmarkStart w:id="55" w:name="_Hlk129881622"/>
            <w:r>
              <w:rPr>
                <w:rFonts w:hint="eastAsia"/>
                <w:b/>
                <w:bCs/>
              </w:rPr>
              <w:t>6、声环境影响结论</w:t>
            </w:r>
          </w:p>
          <w:p>
            <w:pPr>
              <w:pStyle w:val="13"/>
              <w:spacing w:line="360" w:lineRule="auto"/>
              <w:ind w:firstLine="480" w:firstLineChars="200"/>
              <w:jc w:val="left"/>
            </w:pPr>
            <w:r>
              <w:rPr>
                <w:rFonts w:hint="eastAsia"/>
              </w:rPr>
              <w:t>项目运营期生产活动仅在昼间进行，夜间不进行生产活动。在不考虑大气吸收、地面效应、障碍物屏蔽、其它多方面效应引起的衰减，仅考虑几何发散引起的衰减时，全厂运营期昼间厂界处噪声排放值在</w:t>
            </w:r>
            <w:r>
              <w:t>48.0</w:t>
            </w:r>
            <w:r>
              <w:rPr>
                <w:rFonts w:hint="eastAsia"/>
              </w:rPr>
              <w:t>~</w:t>
            </w:r>
            <w:r>
              <w:t>58.2</w:t>
            </w:r>
            <w:r>
              <w:rPr>
                <w:rFonts w:hint="eastAsia"/>
              </w:rPr>
              <w:t>B（A）之间，满足《工业企业场界环境噪声排放标准》（GB 12348-2008）2功能区限值要求，项目运营期厂界噪声可做到达标排放，对外环境造成的影响可被接受。根据现场勘察，项目选址周边5</w:t>
            </w:r>
            <w:r>
              <w:t>0</w:t>
            </w:r>
            <w:r>
              <w:rPr>
                <w:rFonts w:hint="eastAsia"/>
              </w:rPr>
              <w:t>m范围内不存在需要特殊保护的声环境敏感目标，只要严格落实环评提出的噪声治理措施和建议，确保项目运营期厂界噪声达标排放，对项目所在区域声环境影响不大。</w:t>
            </w:r>
          </w:p>
          <w:p>
            <w:pPr>
              <w:spacing w:line="360" w:lineRule="auto"/>
              <w:rPr>
                <w:rFonts w:ascii="黑体" w:hAnsi="黑体" w:eastAsia="黑体"/>
                <w:b/>
                <w:bCs/>
                <w:kern w:val="0"/>
                <w:sz w:val="24"/>
              </w:rPr>
            </w:pPr>
            <w:r>
              <w:rPr>
                <w:rFonts w:hint="eastAsia" w:ascii="黑体" w:hAnsi="黑体" w:eastAsia="黑体"/>
                <w:b/>
                <w:bCs/>
                <w:kern w:val="0"/>
                <w:sz w:val="24"/>
              </w:rPr>
              <w:t>（九）运营期固体废物污染防治和处置措施</w:t>
            </w:r>
          </w:p>
          <w:p>
            <w:pPr>
              <w:pStyle w:val="13"/>
              <w:spacing w:line="360" w:lineRule="auto"/>
              <w:ind w:firstLine="0"/>
              <w:rPr>
                <w:b/>
                <w:bCs/>
              </w:rPr>
            </w:pPr>
            <w:bookmarkStart w:id="56" w:name="_Hlk143267673"/>
            <w:bookmarkStart w:id="57" w:name="_Hlk139874748"/>
            <w:r>
              <w:rPr>
                <w:rFonts w:hint="eastAsia"/>
                <w:b/>
                <w:bCs/>
              </w:rPr>
              <w:t>1、固体废物产生源强核算</w:t>
            </w:r>
          </w:p>
          <w:p>
            <w:pPr>
              <w:spacing w:line="360" w:lineRule="auto"/>
              <w:rPr>
                <w:b/>
                <w:sz w:val="24"/>
              </w:rPr>
            </w:pPr>
            <w:r>
              <w:rPr>
                <w:rFonts w:hint="eastAsia"/>
                <w:b/>
                <w:sz w:val="24"/>
              </w:rPr>
              <w:t>（1）职工生活垃圾</w:t>
            </w:r>
          </w:p>
          <w:p>
            <w:pPr>
              <w:spacing w:line="360" w:lineRule="auto"/>
              <w:ind w:firstLine="480" w:firstLineChars="200"/>
              <w:rPr>
                <w:sz w:val="24"/>
              </w:rPr>
            </w:pPr>
            <w:r>
              <w:rPr>
                <w:rFonts w:hint="eastAsia" w:ascii="宋体" w:hAnsi="宋体"/>
                <w:sz w:val="24"/>
              </w:rPr>
              <w:t>①</w:t>
            </w:r>
            <w:r>
              <w:rPr>
                <w:rFonts w:hint="eastAsia"/>
                <w:sz w:val="24"/>
              </w:rPr>
              <w:t>生活垃圾</w:t>
            </w:r>
          </w:p>
          <w:p>
            <w:pPr>
              <w:spacing w:line="360" w:lineRule="auto"/>
              <w:ind w:firstLine="480" w:firstLineChars="200"/>
              <w:rPr>
                <w:sz w:val="24"/>
              </w:rPr>
            </w:pPr>
            <w:r>
              <w:rPr>
                <w:rFonts w:hint="eastAsia"/>
                <w:sz w:val="24"/>
              </w:rPr>
              <w:t>项目运营期配置职工5人，职工生活垃圾产生量按</w:t>
            </w:r>
            <w:r>
              <w:rPr>
                <w:sz w:val="24"/>
              </w:rPr>
              <w:t>1.0</w:t>
            </w:r>
            <w:r>
              <w:rPr>
                <w:rFonts w:hint="eastAsia"/>
                <w:sz w:val="24"/>
              </w:rPr>
              <w:t>kg</w:t>
            </w:r>
            <w:r>
              <w:rPr>
                <w:sz w:val="24"/>
              </w:rPr>
              <w:t>/</w:t>
            </w:r>
            <w:r>
              <w:rPr>
                <w:rFonts w:hint="eastAsia"/>
                <w:sz w:val="24"/>
              </w:rPr>
              <w:t>人·d计，则项目运营期职工生活垃圾产生量约</w:t>
            </w:r>
            <w:r>
              <w:rPr>
                <w:sz w:val="24"/>
              </w:rPr>
              <w:t>5.0</w:t>
            </w:r>
            <w:r>
              <w:rPr>
                <w:rFonts w:hint="eastAsia"/>
                <w:sz w:val="24"/>
              </w:rPr>
              <w:t>kg</w:t>
            </w:r>
            <w:r>
              <w:rPr>
                <w:sz w:val="24"/>
              </w:rPr>
              <w:t>/</w:t>
            </w:r>
            <w:r>
              <w:rPr>
                <w:rFonts w:hint="eastAsia"/>
                <w:sz w:val="24"/>
              </w:rPr>
              <w:t>d，</w:t>
            </w:r>
            <w:r>
              <w:rPr>
                <w:sz w:val="24"/>
              </w:rPr>
              <w:t>1.5</w:t>
            </w:r>
            <w:r>
              <w:rPr>
                <w:rFonts w:hint="eastAsia"/>
                <w:sz w:val="24"/>
              </w:rPr>
              <w:t>t/a。</w:t>
            </w:r>
          </w:p>
          <w:p>
            <w:pPr>
              <w:spacing w:line="360" w:lineRule="auto"/>
              <w:ind w:firstLine="480" w:firstLineChars="200"/>
              <w:rPr>
                <w:sz w:val="24"/>
              </w:rPr>
            </w:pPr>
            <w:r>
              <w:rPr>
                <w:rFonts w:hint="eastAsia" w:ascii="宋体" w:hAnsi="宋体" w:cs="宋体"/>
                <w:sz w:val="24"/>
              </w:rPr>
              <w:t>②</w:t>
            </w:r>
            <w:r>
              <w:rPr>
                <w:sz w:val="24"/>
              </w:rPr>
              <w:t>隔离油脂（S5）</w:t>
            </w:r>
          </w:p>
          <w:p>
            <w:pPr>
              <w:spacing w:line="360" w:lineRule="auto"/>
              <w:ind w:firstLine="480" w:firstLineChars="200"/>
              <w:rPr>
                <w:sz w:val="24"/>
              </w:rPr>
            </w:pPr>
            <w:r>
              <w:rPr>
                <w:rFonts w:hint="eastAsia"/>
                <w:sz w:val="24"/>
              </w:rPr>
              <w:t>项目运营期配置职工5人，人均食用油耗量按30g/天计，餐厨废水中隔离油脂按食用油耗量的1</w:t>
            </w:r>
            <w:r>
              <w:rPr>
                <w:sz w:val="24"/>
              </w:rPr>
              <w:t>0%</w:t>
            </w:r>
            <w:r>
              <w:rPr>
                <w:rFonts w:hint="eastAsia"/>
                <w:sz w:val="24"/>
              </w:rPr>
              <w:t>计，项目变动后全厂厨房油水分离器隔离油脂约</w:t>
            </w:r>
            <w:r>
              <w:rPr>
                <w:sz w:val="24"/>
              </w:rPr>
              <w:t>0.015</w:t>
            </w:r>
            <w:r>
              <w:rPr>
                <w:rFonts w:hint="eastAsia"/>
                <w:sz w:val="24"/>
              </w:rPr>
              <w:t>kg</w:t>
            </w:r>
            <w:r>
              <w:rPr>
                <w:sz w:val="24"/>
              </w:rPr>
              <w:t>/</w:t>
            </w:r>
            <w:r>
              <w:rPr>
                <w:rFonts w:hint="eastAsia"/>
                <w:sz w:val="24"/>
              </w:rPr>
              <w:t>d，</w:t>
            </w:r>
            <w:r>
              <w:rPr>
                <w:sz w:val="24"/>
              </w:rPr>
              <w:t>4.5</w:t>
            </w:r>
            <w:r>
              <w:rPr>
                <w:rFonts w:hint="eastAsia"/>
                <w:sz w:val="24"/>
              </w:rPr>
              <w:t>kg/a。</w:t>
            </w:r>
          </w:p>
          <w:p>
            <w:pPr>
              <w:spacing w:line="360" w:lineRule="auto"/>
              <w:rPr>
                <w:b/>
                <w:sz w:val="24"/>
              </w:rPr>
            </w:pPr>
            <w:r>
              <w:rPr>
                <w:rFonts w:hint="eastAsia"/>
                <w:b/>
                <w:sz w:val="24"/>
              </w:rPr>
              <w:t>（2）危险废物</w:t>
            </w:r>
          </w:p>
          <w:p>
            <w:pPr>
              <w:spacing w:line="360" w:lineRule="auto"/>
              <w:ind w:firstLine="480" w:firstLineChars="200"/>
              <w:rPr>
                <w:sz w:val="24"/>
              </w:rPr>
            </w:pPr>
            <w:r>
              <w:rPr>
                <w:rFonts w:hint="eastAsia" w:ascii="宋体" w:hAnsi="宋体" w:cs="宋体"/>
                <w:sz w:val="24"/>
              </w:rPr>
              <w:t>①</w:t>
            </w:r>
            <w:r>
              <w:rPr>
                <w:sz w:val="24"/>
              </w:rPr>
              <w:t>废润滑油</w:t>
            </w:r>
          </w:p>
          <w:p>
            <w:pPr>
              <w:spacing w:line="360" w:lineRule="auto"/>
              <w:ind w:firstLine="480" w:firstLineChars="200"/>
              <w:rPr>
                <w:sz w:val="24"/>
              </w:rPr>
            </w:pPr>
            <w:r>
              <w:rPr>
                <w:rFonts w:hint="eastAsia"/>
                <w:sz w:val="24"/>
              </w:rPr>
              <w:t>根据工程分析，项目运营期机械设备检修润滑过程中会有废机油等非润滑油产生，产生量约0</w:t>
            </w:r>
            <w:r>
              <w:rPr>
                <w:sz w:val="24"/>
              </w:rPr>
              <w:t>.1</w:t>
            </w:r>
            <w:r>
              <w:rPr>
                <w:rFonts w:hint="eastAsia"/>
                <w:sz w:val="24"/>
              </w:rPr>
              <w:t>t/a。</w:t>
            </w:r>
          </w:p>
          <w:p>
            <w:pPr>
              <w:spacing w:line="360" w:lineRule="auto"/>
              <w:ind w:firstLine="480" w:firstLineChars="200"/>
              <w:rPr>
                <w:sz w:val="24"/>
              </w:rPr>
            </w:pPr>
            <w:r>
              <w:rPr>
                <w:rFonts w:hint="eastAsia"/>
                <w:sz w:val="24"/>
              </w:rPr>
              <w:t>经对照《国家危险废物名录》（2021年版），废润滑油属于危险废物，危险废物类别：HW08，危险废物代码：900-249-08。</w:t>
            </w:r>
          </w:p>
          <w:p>
            <w:pPr>
              <w:spacing w:line="360" w:lineRule="auto"/>
              <w:ind w:firstLine="480" w:firstLineChars="200"/>
              <w:rPr>
                <w:sz w:val="24"/>
              </w:rPr>
            </w:pPr>
            <w:r>
              <w:rPr>
                <w:rFonts w:hint="eastAsia" w:ascii="宋体" w:hAnsi="宋体"/>
                <w:sz w:val="24"/>
              </w:rPr>
              <w:t>②</w:t>
            </w:r>
            <w:r>
              <w:rPr>
                <w:rFonts w:hint="eastAsia"/>
                <w:sz w:val="24"/>
              </w:rPr>
              <w:t>废矿物油桶</w:t>
            </w:r>
          </w:p>
          <w:p>
            <w:pPr>
              <w:pStyle w:val="41"/>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项目运营期设备检修需更换润滑油，此过程会产生一定量的废油桶。产生量约0</w:t>
            </w:r>
            <w:r>
              <w:rPr>
                <w:rFonts w:ascii="Times New Roman" w:hAnsi="Times New Roman" w:cs="Times New Roman"/>
                <w:color w:val="auto"/>
              </w:rPr>
              <w:t>.02</w:t>
            </w:r>
            <w:r>
              <w:rPr>
                <w:rFonts w:hint="eastAsia" w:ascii="Times New Roman" w:hAnsi="Times New Roman" w:cs="Times New Roman"/>
                <w:color w:val="auto"/>
              </w:rPr>
              <w:t>t</w:t>
            </w:r>
            <w:r>
              <w:rPr>
                <w:rFonts w:ascii="Times New Roman" w:hAnsi="Times New Roman" w:cs="Times New Roman"/>
                <w:color w:val="auto"/>
              </w:rPr>
              <w:t>/</w:t>
            </w:r>
            <w:r>
              <w:rPr>
                <w:rFonts w:hint="eastAsia" w:ascii="Times New Roman" w:hAnsi="Times New Roman" w:cs="Times New Roman"/>
                <w:color w:val="auto"/>
              </w:rPr>
              <w:t>a。</w:t>
            </w:r>
          </w:p>
          <w:p>
            <w:pPr>
              <w:pStyle w:val="41"/>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经对照《国家危险废物名录》（2</w:t>
            </w:r>
            <w:r>
              <w:rPr>
                <w:rFonts w:ascii="Times New Roman" w:hAnsi="Times New Roman" w:cs="Times New Roman"/>
                <w:color w:val="auto"/>
              </w:rPr>
              <w:t>021</w:t>
            </w:r>
            <w:r>
              <w:rPr>
                <w:rFonts w:hint="eastAsia" w:ascii="Times New Roman" w:hAnsi="Times New Roman" w:cs="Times New Roman"/>
                <w:color w:val="auto"/>
              </w:rPr>
              <w:t>年版），废矿物油桶为沾染毒性、感染性危险废物的包装桶，属于危险废物，危险废物类别：HW</w:t>
            </w:r>
            <w:r>
              <w:rPr>
                <w:rFonts w:ascii="Times New Roman" w:hAnsi="Times New Roman" w:cs="Times New Roman"/>
                <w:color w:val="auto"/>
              </w:rPr>
              <w:t>49</w:t>
            </w:r>
            <w:r>
              <w:rPr>
                <w:rFonts w:hint="eastAsia" w:ascii="Times New Roman" w:hAnsi="Times New Roman" w:cs="Times New Roman"/>
                <w:color w:val="auto"/>
              </w:rPr>
              <w:t>，危险废物代码：9</w:t>
            </w:r>
            <w:r>
              <w:rPr>
                <w:rFonts w:ascii="Times New Roman" w:hAnsi="Times New Roman" w:cs="Times New Roman"/>
                <w:color w:val="auto"/>
              </w:rPr>
              <w:t>00-041-49</w:t>
            </w:r>
            <w:r>
              <w:rPr>
                <w:rFonts w:hint="eastAsia" w:ascii="Times New Roman" w:hAnsi="Times New Roman" w:cs="Times New Roman"/>
                <w:color w:val="auto"/>
              </w:rPr>
              <w:t>。</w:t>
            </w:r>
          </w:p>
          <w:p>
            <w:pPr>
              <w:spacing w:line="360" w:lineRule="auto"/>
              <w:ind w:firstLine="480" w:firstLineChars="200"/>
              <w:rPr>
                <w:color w:val="0000FF"/>
                <w:sz w:val="24"/>
              </w:rPr>
            </w:pPr>
            <w:r>
              <w:rPr>
                <w:rFonts w:hint="eastAsia"/>
                <w:color w:val="0000FF"/>
                <w:sz w:val="24"/>
              </w:rPr>
              <w:t>③含油棉纱、抹布</w:t>
            </w:r>
          </w:p>
          <w:p>
            <w:pPr>
              <w:spacing w:line="360" w:lineRule="auto"/>
              <w:ind w:firstLine="480" w:firstLineChars="200"/>
              <w:rPr>
                <w:color w:val="0000FF"/>
                <w:sz w:val="24"/>
              </w:rPr>
            </w:pPr>
            <w:r>
              <w:rPr>
                <w:rFonts w:hint="eastAsia"/>
                <w:color w:val="0000FF"/>
                <w:sz w:val="24"/>
              </w:rPr>
              <w:t>根据建设单位以往生产经验，设备检修润滑过程中含油棉纱、抹布产生量约0</w:t>
            </w:r>
            <w:r>
              <w:rPr>
                <w:color w:val="0000FF"/>
                <w:sz w:val="24"/>
              </w:rPr>
              <w:t>.05</w:t>
            </w:r>
            <w:r>
              <w:rPr>
                <w:rFonts w:hint="eastAsia"/>
                <w:color w:val="0000FF"/>
                <w:sz w:val="24"/>
              </w:rPr>
              <w:t>t/a。</w:t>
            </w:r>
          </w:p>
          <w:p>
            <w:pPr>
              <w:spacing w:line="360" w:lineRule="auto"/>
              <w:ind w:firstLine="480" w:firstLineChars="200"/>
            </w:pPr>
            <w:r>
              <w:rPr>
                <w:color w:val="0000FF"/>
                <w:sz w:val="24"/>
              </w:rPr>
              <w:t>根据《国家危险废物名录》</w:t>
            </w:r>
            <w:r>
              <w:rPr>
                <w:rFonts w:hint="eastAsia"/>
                <w:color w:val="0000FF"/>
                <w:sz w:val="24"/>
              </w:rPr>
              <w:t>（</w:t>
            </w:r>
            <w:r>
              <w:rPr>
                <w:color w:val="0000FF"/>
                <w:sz w:val="24"/>
              </w:rPr>
              <w:t>2021年版</w:t>
            </w:r>
            <w:r>
              <w:rPr>
                <w:rFonts w:hint="eastAsia"/>
                <w:color w:val="0000FF"/>
                <w:sz w:val="24"/>
              </w:rPr>
              <w:t>），含油棉纱、抹布属于</w:t>
            </w:r>
            <w:r>
              <w:rPr>
                <w:color w:val="0000FF"/>
                <w:sz w:val="24"/>
              </w:rPr>
              <w:t>豁免</w:t>
            </w:r>
            <w:r>
              <w:rPr>
                <w:rFonts w:hint="eastAsia"/>
                <w:color w:val="0000FF"/>
                <w:sz w:val="24"/>
              </w:rPr>
              <w:t>危险废物</w:t>
            </w:r>
            <w:r>
              <w:rPr>
                <w:color w:val="0000FF"/>
                <w:sz w:val="24"/>
              </w:rPr>
              <w:t>，</w:t>
            </w:r>
            <w:r>
              <w:rPr>
                <w:rFonts w:hint="eastAsia"/>
                <w:color w:val="0000FF"/>
                <w:sz w:val="24"/>
              </w:rPr>
              <w:t>其经专用容器收集后于危废暂存间内暂存，定期交由相关资质单位清运处置。</w:t>
            </w:r>
          </w:p>
          <w:p>
            <w:pPr>
              <w:spacing w:line="360" w:lineRule="auto"/>
              <w:rPr>
                <w:b/>
                <w:sz w:val="24"/>
              </w:rPr>
            </w:pPr>
            <w:r>
              <w:rPr>
                <w:rFonts w:hint="eastAsia"/>
                <w:b/>
                <w:sz w:val="24"/>
              </w:rPr>
              <w:t>（3）一般工业固体废物</w:t>
            </w:r>
          </w:p>
          <w:p>
            <w:pPr>
              <w:spacing w:line="360" w:lineRule="auto"/>
              <w:ind w:firstLine="480" w:firstLineChars="200"/>
              <w:rPr>
                <w:sz w:val="24"/>
              </w:rPr>
            </w:pPr>
            <w:r>
              <w:rPr>
                <w:rFonts w:hint="eastAsia" w:ascii="宋体" w:hAnsi="宋体"/>
                <w:sz w:val="24"/>
              </w:rPr>
              <w:t>①沉淀池污泥</w:t>
            </w:r>
          </w:p>
          <w:p>
            <w:pPr>
              <w:spacing w:line="360" w:lineRule="auto"/>
              <w:ind w:firstLine="480" w:firstLineChars="200"/>
              <w:rPr>
                <w:sz w:val="24"/>
              </w:rPr>
            </w:pPr>
            <w:r>
              <w:rPr>
                <w:rFonts w:hint="eastAsia"/>
                <w:sz w:val="24"/>
              </w:rPr>
              <w:t>项目运营期洗砂废水经三级沉淀池收集沉淀处理后循环使用，在废水收集沉淀过程中会有大量泥沙沉淀。根据环评分析，项目运营期年使用砂石土3</w:t>
            </w:r>
            <w:r>
              <w:rPr>
                <w:sz w:val="24"/>
              </w:rPr>
              <w:t>0000</w:t>
            </w:r>
            <w:r>
              <w:rPr>
                <w:rFonts w:hint="eastAsia"/>
                <w:sz w:val="24"/>
              </w:rPr>
              <w:t>t作为制砂原料，原料砂石含量要求达8</w:t>
            </w:r>
            <w:r>
              <w:rPr>
                <w:sz w:val="24"/>
              </w:rPr>
              <w:t>0%以上。本次评价按原料中泥土等杂质全部随洗砂废水进入沉淀池计，则沉淀池污泥产生量约</w:t>
            </w:r>
            <w:r>
              <w:rPr>
                <w:rFonts w:hint="eastAsia"/>
                <w:sz w:val="24"/>
              </w:rPr>
              <w:t>6</w:t>
            </w:r>
            <w:r>
              <w:rPr>
                <w:sz w:val="24"/>
              </w:rPr>
              <w:t>000t/a（不计水分）。</w:t>
            </w:r>
          </w:p>
          <w:p>
            <w:pPr>
              <w:spacing w:line="360" w:lineRule="auto"/>
              <w:ind w:firstLine="480" w:firstLineChars="200"/>
              <w:rPr>
                <w:sz w:val="24"/>
              </w:rPr>
            </w:pPr>
            <w:r>
              <w:rPr>
                <w:sz w:val="24"/>
              </w:rPr>
              <w:t>项目运营期</w:t>
            </w:r>
            <w:r>
              <w:rPr>
                <w:rFonts w:hint="eastAsia"/>
                <w:sz w:val="24"/>
              </w:rPr>
              <w:t>沉淀池污泥由建设单位定期清掏后于污泥干化场内堆存，使其自然风干至含水率</w:t>
            </w:r>
            <w:r>
              <w:rPr>
                <w:sz w:val="24"/>
              </w:rPr>
              <w:t>50%</w:t>
            </w:r>
            <w:r>
              <w:rPr>
                <w:rFonts w:hint="eastAsia"/>
                <w:sz w:val="24"/>
              </w:rPr>
              <w:t>左右后外售周边砖瓦制造企业。则项目运营期每年需外售沉淀池污泥约1</w:t>
            </w:r>
            <w:r>
              <w:rPr>
                <w:sz w:val="24"/>
              </w:rPr>
              <w:t>2000</w:t>
            </w:r>
            <w:r>
              <w:rPr>
                <w:rFonts w:hint="eastAsia"/>
                <w:sz w:val="24"/>
              </w:rPr>
              <w:t>t。</w:t>
            </w:r>
          </w:p>
          <w:p>
            <w:pPr>
              <w:spacing w:line="360" w:lineRule="auto"/>
              <w:ind w:firstLine="480" w:firstLineChars="200"/>
              <w:rPr>
                <w:sz w:val="24"/>
              </w:rPr>
            </w:pPr>
            <w:r>
              <w:rPr>
                <w:rFonts w:hint="eastAsia"/>
                <w:sz w:val="24"/>
              </w:rPr>
              <w:t>根据《一般固体废物分类与代码》（GB</w:t>
            </w:r>
            <w:r>
              <w:rPr>
                <w:sz w:val="24"/>
              </w:rPr>
              <w:t>/</w:t>
            </w:r>
            <w:r>
              <w:rPr>
                <w:rFonts w:hint="eastAsia"/>
                <w:sz w:val="24"/>
              </w:rPr>
              <w:t>T</w:t>
            </w:r>
            <w:r>
              <w:rPr>
                <w:sz w:val="24"/>
              </w:rPr>
              <w:t xml:space="preserve"> 39195-2020</w:t>
            </w:r>
            <w:r>
              <w:rPr>
                <w:rFonts w:hint="eastAsia"/>
                <w:sz w:val="24"/>
              </w:rPr>
              <w:t>），沉淀池污泥固废类别与代码属：</w:t>
            </w:r>
            <w:r>
              <w:rPr>
                <w:sz w:val="24"/>
              </w:rPr>
              <w:t>61-900-999-61</w:t>
            </w:r>
            <w:r>
              <w:rPr>
                <w:rFonts w:hint="eastAsia"/>
                <w:sz w:val="24"/>
              </w:rPr>
              <w:t>（无机废水污泥）。</w:t>
            </w:r>
          </w:p>
          <w:p>
            <w:pPr>
              <w:pStyle w:val="18"/>
              <w:spacing w:line="360" w:lineRule="auto"/>
              <w:ind w:left="-15" w:right="-48" w:firstLine="480" w:firstLineChars="200"/>
              <w:jc w:val="both"/>
              <w:textAlignment w:val="auto"/>
              <w:rPr>
                <w:rFonts w:ascii="Times New Roman" w:eastAsia="宋体"/>
                <w:color w:val="auto"/>
              </w:rPr>
            </w:pPr>
            <w:r>
              <w:rPr>
                <w:rFonts w:hint="eastAsia" w:ascii="宋体" w:hAnsi="宋体" w:eastAsia="宋体"/>
                <w:color w:val="auto"/>
              </w:rPr>
              <w:t>②</w:t>
            </w:r>
            <w:r>
              <w:rPr>
                <w:rFonts w:hint="eastAsia" w:ascii="Times New Roman" w:eastAsia="宋体"/>
                <w:color w:val="auto"/>
              </w:rPr>
              <w:t>化粪池污泥</w:t>
            </w:r>
          </w:p>
          <w:p>
            <w:pPr>
              <w:pStyle w:val="18"/>
              <w:spacing w:line="360" w:lineRule="auto"/>
              <w:ind w:left="-15" w:right="-48" w:firstLine="480" w:firstLineChars="200"/>
              <w:jc w:val="both"/>
              <w:textAlignment w:val="auto"/>
              <w:rPr>
                <w:rFonts w:ascii="Times New Roman" w:eastAsia="宋体"/>
                <w:color w:val="auto"/>
              </w:rPr>
            </w:pPr>
            <w:r>
              <w:rPr>
                <w:rFonts w:hint="eastAsia" w:ascii="Times New Roman" w:eastAsia="宋体"/>
                <w:color w:val="auto"/>
              </w:rPr>
              <w:t>项目运营期生活污水排入化粪池后上清液回用于厂区绿化，化粪池污泥由建设单位定期清掏作为农肥施用于厂区内绿化，化粪池污泥产生量按如下公式计算：</w:t>
            </w:r>
          </w:p>
          <w:p>
            <w:pPr>
              <w:pStyle w:val="18"/>
              <w:ind w:left="-17" w:right="-45"/>
              <w:textAlignment w:val="auto"/>
              <w:rPr>
                <w:rFonts w:ascii="Times New Roman" w:eastAsia="宋体"/>
                <w:color w:val="auto"/>
              </w:rPr>
            </w:pPr>
            <w:r>
              <w:rPr>
                <w:rFonts w:hint="eastAsia" w:ascii="Times New Roman" w:eastAsia="宋体"/>
                <w:color w:val="auto"/>
              </w:rPr>
              <w:t>G</w:t>
            </w:r>
            <w:r>
              <w:rPr>
                <w:rFonts w:hint="eastAsia" w:ascii="Times New Roman" w:eastAsia="宋体"/>
                <w:color w:val="auto"/>
                <w:vertAlign w:val="subscript"/>
              </w:rPr>
              <w:t>泥</w:t>
            </w:r>
            <w:r>
              <w:rPr>
                <w:rFonts w:hint="eastAsia" w:ascii="Times New Roman" w:eastAsia="宋体"/>
                <w:color w:val="auto"/>
              </w:rPr>
              <w:t>=M</w:t>
            </w:r>
            <w:r>
              <w:rPr>
                <w:rFonts w:ascii="Times New Roman" w:eastAsia="宋体"/>
                <w:color w:val="auto"/>
              </w:rPr>
              <w:t>/1000*</w:t>
            </w:r>
            <w:r>
              <w:rPr>
                <w:rFonts w:hint="eastAsia" w:ascii="Times New Roman" w:eastAsia="宋体"/>
                <w:color w:val="auto"/>
              </w:rPr>
              <w:t>（K</w:t>
            </w:r>
            <w:r>
              <w:rPr>
                <w:rFonts w:hint="eastAsia" w:ascii="Times New Roman" w:eastAsia="宋体"/>
                <w:color w:val="auto"/>
                <w:vertAlign w:val="subscript"/>
              </w:rPr>
              <w:t>沉</w:t>
            </w:r>
            <w:r>
              <w:rPr>
                <w:rFonts w:hint="eastAsia" w:ascii="Times New Roman" w:eastAsia="宋体"/>
                <w:color w:val="auto"/>
              </w:rPr>
              <w:t>+K</w:t>
            </w:r>
            <w:r>
              <w:rPr>
                <w:rFonts w:hint="eastAsia" w:ascii="Times New Roman" w:eastAsia="宋体"/>
                <w:color w:val="auto"/>
                <w:vertAlign w:val="subscript"/>
              </w:rPr>
              <w:t>初</w:t>
            </w:r>
            <w:r>
              <w:rPr>
                <w:rFonts w:hint="eastAsia" w:ascii="Times New Roman" w:eastAsia="宋体"/>
                <w:color w:val="auto"/>
              </w:rPr>
              <w:t>+K）</w:t>
            </w:r>
          </w:p>
          <w:p>
            <w:pPr>
              <w:pStyle w:val="18"/>
              <w:spacing w:line="360" w:lineRule="auto"/>
              <w:ind w:left="-15" w:right="-48" w:firstLine="480" w:firstLineChars="200"/>
              <w:jc w:val="both"/>
              <w:textAlignment w:val="auto"/>
              <w:rPr>
                <w:rFonts w:ascii="Times New Roman" w:eastAsia="宋体"/>
                <w:color w:val="auto"/>
              </w:rPr>
            </w:pPr>
            <w:r>
              <w:rPr>
                <w:rFonts w:hint="eastAsia" w:ascii="Times New Roman" w:eastAsia="宋体"/>
                <w:color w:val="auto"/>
              </w:rPr>
              <w:t>式中：G</w:t>
            </w:r>
            <w:r>
              <w:rPr>
                <w:rFonts w:hint="eastAsia" w:ascii="Times New Roman" w:eastAsia="宋体"/>
                <w:color w:val="auto"/>
                <w:vertAlign w:val="subscript"/>
              </w:rPr>
              <w:t>泥</w:t>
            </w:r>
            <w:r>
              <w:rPr>
                <w:rFonts w:hint="eastAsia" w:ascii="Times New Roman" w:eastAsia="宋体"/>
                <w:color w:val="auto"/>
              </w:rPr>
              <w:t>—生活污水干污泥产生量，kg</w:t>
            </w:r>
            <w:r>
              <w:rPr>
                <w:rFonts w:ascii="Times New Roman" w:eastAsia="宋体"/>
                <w:color w:val="auto"/>
              </w:rPr>
              <w:t>/</w:t>
            </w:r>
            <w:r>
              <w:rPr>
                <w:rFonts w:hint="eastAsia" w:ascii="Times New Roman" w:eastAsia="宋体"/>
                <w:color w:val="auto"/>
              </w:rPr>
              <w:t>d；</w:t>
            </w:r>
          </w:p>
          <w:p>
            <w:pPr>
              <w:pStyle w:val="18"/>
              <w:spacing w:line="360" w:lineRule="auto"/>
              <w:ind w:left="-17" w:right="-45" w:firstLine="1200" w:firstLineChars="500"/>
              <w:jc w:val="both"/>
              <w:textAlignment w:val="auto"/>
              <w:rPr>
                <w:rFonts w:ascii="Times New Roman" w:eastAsia="宋体"/>
                <w:color w:val="auto"/>
              </w:rPr>
            </w:pPr>
            <w:r>
              <w:rPr>
                <w:rFonts w:hint="eastAsia" w:ascii="Times New Roman" w:eastAsia="宋体"/>
                <w:color w:val="auto"/>
              </w:rPr>
              <w:t>M—计算人口数，人；</w:t>
            </w:r>
          </w:p>
          <w:p>
            <w:pPr>
              <w:pStyle w:val="18"/>
              <w:spacing w:line="360" w:lineRule="auto"/>
              <w:ind w:left="-17" w:right="-45" w:firstLine="1200" w:firstLineChars="500"/>
              <w:jc w:val="both"/>
              <w:textAlignment w:val="auto"/>
              <w:rPr>
                <w:rFonts w:ascii="Times New Roman" w:eastAsia="宋体"/>
                <w:color w:val="auto"/>
              </w:rPr>
            </w:pPr>
            <w:r>
              <w:rPr>
                <w:rFonts w:hint="eastAsia" w:ascii="Times New Roman" w:eastAsia="宋体"/>
                <w:color w:val="auto"/>
              </w:rPr>
              <w:t>K</w:t>
            </w:r>
            <w:r>
              <w:rPr>
                <w:rFonts w:hint="eastAsia" w:ascii="Times New Roman" w:eastAsia="宋体"/>
                <w:color w:val="auto"/>
                <w:vertAlign w:val="subscript"/>
              </w:rPr>
              <w:t>沉</w:t>
            </w:r>
            <w:r>
              <w:rPr>
                <w:rFonts w:hint="eastAsia" w:ascii="Times New Roman" w:eastAsia="宋体"/>
                <w:color w:val="auto"/>
              </w:rPr>
              <w:t>—每人每日的污水中的干沉砂量，一般可取0</w:t>
            </w:r>
            <w:r>
              <w:rPr>
                <w:rFonts w:ascii="Times New Roman" w:eastAsia="宋体"/>
                <w:color w:val="auto"/>
              </w:rPr>
              <w:t>.006~0.012</w:t>
            </w:r>
            <w:r>
              <w:rPr>
                <w:rFonts w:hint="eastAsia" w:ascii="Times New Roman" w:eastAsia="宋体"/>
                <w:color w:val="auto"/>
              </w:rPr>
              <w:t>kg</w:t>
            </w:r>
            <w:r>
              <w:rPr>
                <w:rFonts w:ascii="Times New Roman" w:eastAsia="宋体"/>
                <w:color w:val="auto"/>
              </w:rPr>
              <w:t>/</w:t>
            </w:r>
            <w:r>
              <w:rPr>
                <w:rFonts w:hint="eastAsia" w:ascii="Times New Roman" w:eastAsia="宋体"/>
                <w:color w:val="auto"/>
              </w:rPr>
              <w:t>（人·d），本次取0</w:t>
            </w:r>
            <w:r>
              <w:rPr>
                <w:rFonts w:ascii="Times New Roman" w:eastAsia="宋体"/>
                <w:color w:val="auto"/>
              </w:rPr>
              <w:t>.012</w:t>
            </w:r>
            <w:r>
              <w:rPr>
                <w:rFonts w:hint="eastAsia" w:ascii="Times New Roman" w:eastAsia="宋体"/>
                <w:color w:val="auto"/>
              </w:rPr>
              <w:t>kg</w:t>
            </w:r>
            <w:r>
              <w:rPr>
                <w:rFonts w:ascii="Times New Roman" w:eastAsia="宋体"/>
                <w:color w:val="auto"/>
              </w:rPr>
              <w:t>/</w:t>
            </w:r>
            <w:r>
              <w:rPr>
                <w:rFonts w:hint="eastAsia" w:ascii="Times New Roman" w:eastAsia="宋体"/>
                <w:color w:val="auto"/>
              </w:rPr>
              <w:t>（人·d）</w:t>
            </w:r>
          </w:p>
          <w:p>
            <w:pPr>
              <w:pStyle w:val="18"/>
              <w:spacing w:line="360" w:lineRule="auto"/>
              <w:ind w:left="-17" w:right="-45" w:firstLine="1200" w:firstLineChars="500"/>
              <w:jc w:val="both"/>
              <w:textAlignment w:val="auto"/>
              <w:rPr>
                <w:rFonts w:ascii="Times New Roman" w:eastAsia="宋体"/>
                <w:color w:val="auto"/>
              </w:rPr>
            </w:pPr>
            <w:r>
              <w:rPr>
                <w:rFonts w:hint="eastAsia" w:ascii="Times New Roman" w:eastAsia="宋体"/>
                <w:color w:val="auto"/>
              </w:rPr>
              <w:t>K</w:t>
            </w:r>
            <w:r>
              <w:rPr>
                <w:rFonts w:hint="eastAsia" w:ascii="Times New Roman" w:eastAsia="宋体"/>
                <w:color w:val="auto"/>
                <w:vertAlign w:val="subscript"/>
              </w:rPr>
              <w:t>初</w:t>
            </w:r>
            <w:r>
              <w:rPr>
                <w:rFonts w:hint="eastAsia" w:ascii="Times New Roman" w:eastAsia="宋体"/>
                <w:color w:val="auto"/>
              </w:rPr>
              <w:t>—每人每日的污水在初次沉淀池中产生的干污泥量，可取0</w:t>
            </w:r>
            <w:r>
              <w:rPr>
                <w:rFonts w:ascii="Times New Roman" w:eastAsia="宋体"/>
                <w:color w:val="auto"/>
              </w:rPr>
              <w:t>.02~0.025</w:t>
            </w:r>
            <w:r>
              <w:rPr>
                <w:rFonts w:hint="eastAsia" w:ascii="Times New Roman" w:eastAsia="宋体"/>
                <w:color w:val="auto"/>
              </w:rPr>
              <w:t>kg</w:t>
            </w:r>
            <w:r>
              <w:rPr>
                <w:rFonts w:ascii="Times New Roman" w:eastAsia="宋体"/>
                <w:color w:val="auto"/>
              </w:rPr>
              <w:t>/</w:t>
            </w:r>
            <w:r>
              <w:rPr>
                <w:rFonts w:hint="eastAsia" w:ascii="Times New Roman" w:eastAsia="宋体"/>
                <w:color w:val="auto"/>
              </w:rPr>
              <w:t>（人·d），本次取0</w:t>
            </w:r>
            <w:r>
              <w:rPr>
                <w:rFonts w:ascii="Times New Roman" w:eastAsia="宋体"/>
                <w:color w:val="auto"/>
              </w:rPr>
              <w:t>.025</w:t>
            </w:r>
            <w:r>
              <w:rPr>
                <w:rFonts w:hint="eastAsia" w:ascii="Times New Roman" w:eastAsia="宋体"/>
                <w:color w:val="auto"/>
              </w:rPr>
              <w:t>kg（人·d）</w:t>
            </w:r>
          </w:p>
          <w:p>
            <w:pPr>
              <w:pStyle w:val="18"/>
              <w:spacing w:line="360" w:lineRule="auto"/>
              <w:ind w:left="-17" w:right="-45" w:firstLine="1200" w:firstLineChars="500"/>
              <w:jc w:val="both"/>
              <w:textAlignment w:val="auto"/>
              <w:rPr>
                <w:rFonts w:ascii="Times New Roman" w:eastAsia="宋体"/>
                <w:color w:val="auto"/>
              </w:rPr>
            </w:pPr>
            <w:r>
              <w:rPr>
                <w:rFonts w:hint="eastAsia" w:ascii="Times New Roman" w:eastAsia="宋体"/>
                <w:color w:val="auto"/>
              </w:rPr>
              <w:t>K—每人每人产生的活性污泥量，对普通生物滤池，K</w:t>
            </w:r>
            <w:r>
              <w:rPr>
                <w:rFonts w:ascii="Times New Roman" w:eastAsia="宋体"/>
                <w:color w:val="auto"/>
              </w:rPr>
              <w:t>=0.045</w:t>
            </w:r>
            <w:r>
              <w:rPr>
                <w:rFonts w:hint="eastAsia" w:ascii="Times New Roman" w:eastAsia="宋体"/>
                <w:color w:val="auto"/>
              </w:rPr>
              <w:t>kg</w:t>
            </w:r>
            <w:r>
              <w:rPr>
                <w:rFonts w:ascii="Times New Roman" w:eastAsia="宋体"/>
                <w:color w:val="auto"/>
              </w:rPr>
              <w:t>/</w:t>
            </w:r>
            <w:r>
              <w:rPr>
                <w:rFonts w:hint="eastAsia" w:ascii="Times New Roman" w:eastAsia="宋体"/>
                <w:color w:val="auto"/>
              </w:rPr>
              <w:t>（人·d）</w:t>
            </w:r>
          </w:p>
          <w:p>
            <w:pPr>
              <w:pStyle w:val="18"/>
              <w:spacing w:line="360" w:lineRule="auto"/>
              <w:ind w:left="-15" w:right="-48" w:firstLine="480" w:firstLineChars="200"/>
              <w:jc w:val="both"/>
              <w:textAlignment w:val="auto"/>
              <w:rPr>
                <w:rFonts w:ascii="Times New Roman" w:eastAsia="宋体"/>
                <w:color w:val="auto"/>
              </w:rPr>
            </w:pPr>
            <w:r>
              <w:rPr>
                <w:rFonts w:hint="eastAsia" w:ascii="Times New Roman" w:eastAsia="宋体"/>
                <w:color w:val="auto"/>
              </w:rPr>
              <w:t>按照上述公式计算，项目运营期化粪池污泥产生量约0</w:t>
            </w:r>
            <w:r>
              <w:rPr>
                <w:rFonts w:ascii="Times New Roman" w:eastAsia="宋体"/>
                <w:color w:val="auto"/>
              </w:rPr>
              <w:t>.00041</w:t>
            </w:r>
            <w:r>
              <w:rPr>
                <w:rFonts w:hint="eastAsia" w:ascii="Times New Roman" w:eastAsia="宋体"/>
                <w:color w:val="auto"/>
              </w:rPr>
              <w:t>kg</w:t>
            </w:r>
            <w:r>
              <w:rPr>
                <w:rFonts w:ascii="Times New Roman" w:eastAsia="宋体"/>
                <w:color w:val="auto"/>
              </w:rPr>
              <w:t>/</w:t>
            </w:r>
            <w:r>
              <w:rPr>
                <w:rFonts w:hint="eastAsia" w:ascii="Times New Roman" w:eastAsia="宋体"/>
                <w:color w:val="auto"/>
              </w:rPr>
              <w:t>d，0</w:t>
            </w:r>
            <w:r>
              <w:rPr>
                <w:rFonts w:ascii="Times New Roman" w:eastAsia="宋体"/>
                <w:color w:val="auto"/>
              </w:rPr>
              <w:t>.123</w:t>
            </w:r>
            <w:r>
              <w:rPr>
                <w:rFonts w:hint="eastAsia" w:ascii="Times New Roman" w:eastAsia="宋体"/>
                <w:color w:val="auto"/>
              </w:rPr>
              <w:t>kg</w:t>
            </w:r>
            <w:r>
              <w:rPr>
                <w:rFonts w:ascii="Times New Roman" w:eastAsia="宋体"/>
                <w:color w:val="auto"/>
              </w:rPr>
              <w:t>/</w:t>
            </w:r>
            <w:r>
              <w:rPr>
                <w:rFonts w:hint="eastAsia" w:ascii="Times New Roman" w:eastAsia="宋体"/>
                <w:color w:val="auto"/>
              </w:rPr>
              <w:t>a。</w:t>
            </w:r>
          </w:p>
          <w:p>
            <w:pPr>
              <w:spacing w:line="360" w:lineRule="auto"/>
              <w:ind w:firstLine="480" w:firstLineChars="200"/>
              <w:rPr>
                <w:sz w:val="24"/>
              </w:rPr>
            </w:pPr>
            <w:r>
              <w:rPr>
                <w:rFonts w:hint="eastAsia"/>
                <w:sz w:val="24"/>
              </w:rPr>
              <w:t>根据《一般固体废物分类与代码》（GB</w:t>
            </w:r>
            <w:r>
              <w:rPr>
                <w:sz w:val="24"/>
              </w:rPr>
              <w:t>/</w:t>
            </w:r>
            <w:r>
              <w:rPr>
                <w:rFonts w:hint="eastAsia"/>
                <w:sz w:val="24"/>
              </w:rPr>
              <w:t>T</w:t>
            </w:r>
            <w:r>
              <w:rPr>
                <w:sz w:val="24"/>
              </w:rPr>
              <w:t xml:space="preserve"> 39195-2020</w:t>
            </w:r>
            <w:r>
              <w:rPr>
                <w:rFonts w:hint="eastAsia"/>
                <w:sz w:val="24"/>
              </w:rPr>
              <w:t>），化粪池污泥固废类别与代码属：</w:t>
            </w:r>
            <w:r>
              <w:rPr>
                <w:sz w:val="24"/>
              </w:rPr>
              <w:t>61-900-999-61</w:t>
            </w:r>
            <w:r>
              <w:rPr>
                <w:rFonts w:hint="eastAsia"/>
                <w:sz w:val="24"/>
              </w:rPr>
              <w:t>（无机废水污泥）。</w:t>
            </w:r>
          </w:p>
          <w:bookmarkEnd w:id="56"/>
          <w:p>
            <w:pPr>
              <w:pStyle w:val="18"/>
              <w:spacing w:line="360" w:lineRule="auto"/>
              <w:ind w:left="-15" w:right="-48" w:firstLine="480" w:firstLineChars="200"/>
              <w:jc w:val="both"/>
              <w:textAlignment w:val="auto"/>
              <w:rPr>
                <w:rFonts w:ascii="Times New Roman" w:eastAsia="宋体"/>
                <w:color w:val="auto"/>
              </w:rPr>
            </w:pPr>
            <w:r>
              <w:rPr>
                <w:rFonts w:hint="eastAsia" w:ascii="Times New Roman" w:eastAsia="宋体"/>
                <w:color w:val="auto"/>
              </w:rPr>
              <w:t>综上分析，项目运营期固体废物产生情况如下：</w:t>
            </w:r>
          </w:p>
          <w:p>
            <w:pPr>
              <w:pStyle w:val="18"/>
              <w:ind w:left="-15" w:right="-48" w:firstLine="494"/>
              <w:textAlignment w:val="auto"/>
              <w:rPr>
                <w:rFonts w:ascii="Times New Roman" w:eastAsia="宋体"/>
                <w:b/>
                <w:bCs/>
                <w:color w:val="auto"/>
              </w:rPr>
            </w:pPr>
            <w:r>
              <w:rPr>
                <w:rFonts w:hint="eastAsia" w:ascii="Times New Roman" w:eastAsia="宋体"/>
                <w:b/>
                <w:bCs/>
                <w:color w:val="auto"/>
              </w:rPr>
              <w:t>表4</w:t>
            </w:r>
            <w:r>
              <w:rPr>
                <w:rFonts w:ascii="Times New Roman" w:eastAsia="宋体"/>
                <w:b/>
                <w:bCs/>
                <w:color w:val="auto"/>
              </w:rPr>
              <w:t xml:space="preserve">.9-1  </w:t>
            </w:r>
            <w:r>
              <w:rPr>
                <w:rFonts w:hint="eastAsia" w:ascii="Times New Roman" w:eastAsia="宋体"/>
                <w:b/>
                <w:bCs/>
                <w:color w:val="auto"/>
              </w:rPr>
              <w:t xml:space="preserve">固体废物产生情况一览表 </w:t>
            </w:r>
            <w:r>
              <w:rPr>
                <w:rFonts w:ascii="Times New Roman" w:eastAsia="宋体"/>
                <w:b/>
                <w:bCs/>
                <w:color w:val="auto"/>
              </w:rPr>
              <w:t xml:space="preserve"> </w:t>
            </w:r>
            <w:r>
              <w:rPr>
                <w:rFonts w:hint="eastAsia" w:ascii="Times New Roman" w:eastAsia="宋体"/>
                <w:b/>
                <w:bCs/>
                <w:color w:val="auto"/>
              </w:rPr>
              <w:t>单位：t/a</w:t>
            </w:r>
          </w:p>
          <w:tbl>
            <w:tblPr>
              <w:tblStyle w:val="3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7"/>
              <w:gridCol w:w="1864"/>
              <w:gridCol w:w="1865"/>
              <w:gridCol w:w="994"/>
              <w:gridCol w:w="1795"/>
              <w:gridCol w:w="12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6" w:type="pct"/>
                  <w:vAlign w:val="center"/>
                </w:tcPr>
                <w:p>
                  <w:pPr>
                    <w:jc w:val="center"/>
                    <w:rPr>
                      <w:b/>
                      <w:szCs w:val="21"/>
                    </w:rPr>
                  </w:pPr>
                  <w:bookmarkStart w:id="58" w:name="_Hlk139900128"/>
                  <w:r>
                    <w:rPr>
                      <w:b/>
                      <w:szCs w:val="21"/>
                    </w:rPr>
                    <w:t>类别</w:t>
                  </w:r>
                </w:p>
              </w:tc>
              <w:tc>
                <w:tcPr>
                  <w:tcW w:w="1121" w:type="pct"/>
                  <w:vAlign w:val="center"/>
                </w:tcPr>
                <w:p>
                  <w:pPr>
                    <w:jc w:val="center"/>
                    <w:rPr>
                      <w:b/>
                      <w:szCs w:val="21"/>
                    </w:rPr>
                  </w:pPr>
                  <w:r>
                    <w:rPr>
                      <w:b/>
                      <w:szCs w:val="21"/>
                    </w:rPr>
                    <w:t>名称</w:t>
                  </w:r>
                </w:p>
              </w:tc>
              <w:tc>
                <w:tcPr>
                  <w:tcW w:w="1121" w:type="pct"/>
                  <w:vAlign w:val="center"/>
                </w:tcPr>
                <w:p>
                  <w:pPr>
                    <w:jc w:val="center"/>
                    <w:rPr>
                      <w:b/>
                      <w:szCs w:val="21"/>
                    </w:rPr>
                  </w:pPr>
                  <w:r>
                    <w:rPr>
                      <w:b/>
                      <w:szCs w:val="21"/>
                    </w:rPr>
                    <w:t>产生环节</w:t>
                  </w:r>
                </w:p>
              </w:tc>
              <w:tc>
                <w:tcPr>
                  <w:tcW w:w="607" w:type="pct"/>
                  <w:vAlign w:val="center"/>
                </w:tcPr>
                <w:p>
                  <w:pPr>
                    <w:jc w:val="center"/>
                    <w:rPr>
                      <w:b/>
                      <w:szCs w:val="21"/>
                    </w:rPr>
                  </w:pPr>
                  <w:r>
                    <w:rPr>
                      <w:b/>
                      <w:szCs w:val="21"/>
                    </w:rPr>
                    <w:t>类别</w:t>
                  </w:r>
                </w:p>
              </w:tc>
              <w:tc>
                <w:tcPr>
                  <w:tcW w:w="1080" w:type="pct"/>
                  <w:vAlign w:val="center"/>
                </w:tcPr>
                <w:p>
                  <w:pPr>
                    <w:jc w:val="center"/>
                    <w:rPr>
                      <w:b/>
                      <w:szCs w:val="21"/>
                    </w:rPr>
                  </w:pPr>
                  <w:r>
                    <w:rPr>
                      <w:b/>
                      <w:szCs w:val="21"/>
                    </w:rPr>
                    <w:t>代码</w:t>
                  </w:r>
                </w:p>
              </w:tc>
              <w:tc>
                <w:tcPr>
                  <w:tcW w:w="615" w:type="pct"/>
                  <w:vAlign w:val="center"/>
                </w:tcPr>
                <w:p>
                  <w:pPr>
                    <w:jc w:val="center"/>
                    <w:rPr>
                      <w:b/>
                      <w:szCs w:val="21"/>
                    </w:rPr>
                  </w:pPr>
                  <w:r>
                    <w:rPr>
                      <w:b/>
                      <w:szCs w:val="21"/>
                    </w:rPr>
                    <w:t>产生量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6" w:type="pct"/>
                  <w:vMerge w:val="restart"/>
                  <w:vAlign w:val="center"/>
                </w:tcPr>
                <w:p>
                  <w:pPr>
                    <w:jc w:val="center"/>
                    <w:rPr>
                      <w:szCs w:val="21"/>
                    </w:rPr>
                  </w:pPr>
                  <w:r>
                    <w:rPr>
                      <w:szCs w:val="21"/>
                    </w:rPr>
                    <w:t>生活垃圾</w:t>
                  </w:r>
                </w:p>
              </w:tc>
              <w:tc>
                <w:tcPr>
                  <w:tcW w:w="1121" w:type="pct"/>
                  <w:vAlign w:val="center"/>
                </w:tcPr>
                <w:p>
                  <w:pPr>
                    <w:jc w:val="center"/>
                    <w:rPr>
                      <w:szCs w:val="21"/>
                    </w:rPr>
                  </w:pPr>
                  <w:r>
                    <w:rPr>
                      <w:szCs w:val="21"/>
                    </w:rPr>
                    <w:t>生活垃圾</w:t>
                  </w:r>
                </w:p>
              </w:tc>
              <w:tc>
                <w:tcPr>
                  <w:tcW w:w="1121" w:type="pct"/>
                  <w:vAlign w:val="center"/>
                </w:tcPr>
                <w:p>
                  <w:pPr>
                    <w:jc w:val="center"/>
                    <w:rPr>
                      <w:szCs w:val="21"/>
                    </w:rPr>
                  </w:pPr>
                  <w:r>
                    <w:rPr>
                      <w:szCs w:val="21"/>
                    </w:rPr>
                    <w:t>办公生活区</w:t>
                  </w:r>
                </w:p>
              </w:tc>
              <w:tc>
                <w:tcPr>
                  <w:tcW w:w="607" w:type="pct"/>
                  <w:vAlign w:val="center"/>
                </w:tcPr>
                <w:p>
                  <w:pPr>
                    <w:jc w:val="center"/>
                    <w:rPr>
                      <w:szCs w:val="21"/>
                    </w:rPr>
                  </w:pPr>
                  <w:r>
                    <w:rPr>
                      <w:szCs w:val="21"/>
                    </w:rPr>
                    <w:t>/</w:t>
                  </w:r>
                </w:p>
              </w:tc>
              <w:tc>
                <w:tcPr>
                  <w:tcW w:w="1080" w:type="pct"/>
                  <w:vAlign w:val="center"/>
                </w:tcPr>
                <w:p>
                  <w:pPr>
                    <w:jc w:val="center"/>
                    <w:rPr>
                      <w:szCs w:val="21"/>
                    </w:rPr>
                  </w:pPr>
                  <w:r>
                    <w:rPr>
                      <w:szCs w:val="21"/>
                    </w:rPr>
                    <w:t>/</w:t>
                  </w:r>
                </w:p>
              </w:tc>
              <w:tc>
                <w:tcPr>
                  <w:tcW w:w="615" w:type="pct"/>
                  <w:vAlign w:val="center"/>
                </w:tcPr>
                <w:p>
                  <w:pPr>
                    <w:jc w:val="center"/>
                    <w:rPr>
                      <w:szCs w:val="21"/>
                    </w:rPr>
                  </w:pPr>
                  <w:r>
                    <w:rPr>
                      <w:rFonts w:hint="eastAsia"/>
                      <w:szCs w:val="21"/>
                    </w:rPr>
                    <w:t>1</w:t>
                  </w:r>
                  <w:r>
                    <w:rPr>
                      <w:szCs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6" w:type="pct"/>
                  <w:vMerge w:val="continue"/>
                  <w:vAlign w:val="center"/>
                </w:tcPr>
                <w:p>
                  <w:pPr>
                    <w:jc w:val="center"/>
                    <w:rPr>
                      <w:szCs w:val="21"/>
                    </w:rPr>
                  </w:pPr>
                </w:p>
              </w:tc>
              <w:tc>
                <w:tcPr>
                  <w:tcW w:w="1121" w:type="pct"/>
                  <w:vAlign w:val="center"/>
                </w:tcPr>
                <w:p>
                  <w:pPr>
                    <w:jc w:val="center"/>
                    <w:rPr>
                      <w:szCs w:val="21"/>
                    </w:rPr>
                  </w:pPr>
                  <w:r>
                    <w:rPr>
                      <w:szCs w:val="21"/>
                    </w:rPr>
                    <w:t>隔离油脂</w:t>
                  </w:r>
                </w:p>
              </w:tc>
              <w:tc>
                <w:tcPr>
                  <w:tcW w:w="1121" w:type="pct"/>
                  <w:vAlign w:val="center"/>
                </w:tcPr>
                <w:p>
                  <w:pPr>
                    <w:jc w:val="center"/>
                    <w:rPr>
                      <w:szCs w:val="21"/>
                    </w:rPr>
                  </w:pPr>
                  <w:r>
                    <w:rPr>
                      <w:szCs w:val="21"/>
                    </w:rPr>
                    <w:t>油水分离器</w:t>
                  </w:r>
                </w:p>
              </w:tc>
              <w:tc>
                <w:tcPr>
                  <w:tcW w:w="607" w:type="pct"/>
                  <w:vAlign w:val="center"/>
                </w:tcPr>
                <w:p>
                  <w:pPr>
                    <w:jc w:val="center"/>
                    <w:rPr>
                      <w:szCs w:val="21"/>
                    </w:rPr>
                  </w:pPr>
                  <w:r>
                    <w:rPr>
                      <w:szCs w:val="21"/>
                    </w:rPr>
                    <w:t>/</w:t>
                  </w:r>
                </w:p>
              </w:tc>
              <w:tc>
                <w:tcPr>
                  <w:tcW w:w="1080" w:type="pct"/>
                  <w:vAlign w:val="center"/>
                </w:tcPr>
                <w:p>
                  <w:pPr>
                    <w:jc w:val="center"/>
                    <w:rPr>
                      <w:szCs w:val="21"/>
                    </w:rPr>
                  </w:pPr>
                  <w:r>
                    <w:rPr>
                      <w:szCs w:val="21"/>
                    </w:rPr>
                    <w:t>/</w:t>
                  </w:r>
                </w:p>
              </w:tc>
              <w:tc>
                <w:tcPr>
                  <w:tcW w:w="615" w:type="pct"/>
                  <w:vAlign w:val="center"/>
                </w:tcPr>
                <w:p>
                  <w:pPr>
                    <w:jc w:val="center"/>
                    <w:rPr>
                      <w:szCs w:val="21"/>
                    </w:rPr>
                  </w:pPr>
                  <w:r>
                    <w:rPr>
                      <w:rFonts w:hint="eastAsia"/>
                      <w:szCs w:val="21"/>
                    </w:rPr>
                    <w:t>0</w:t>
                  </w:r>
                  <w:r>
                    <w:rPr>
                      <w:szCs w:val="21"/>
                    </w:rPr>
                    <w:t>.0045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56" w:type="pct"/>
                  <w:vMerge w:val="restart"/>
                  <w:vAlign w:val="center"/>
                </w:tcPr>
                <w:p>
                  <w:pPr>
                    <w:jc w:val="center"/>
                    <w:rPr>
                      <w:szCs w:val="21"/>
                    </w:rPr>
                  </w:pPr>
                  <w:r>
                    <w:rPr>
                      <w:szCs w:val="21"/>
                    </w:rPr>
                    <w:t>危险废物</w:t>
                  </w:r>
                </w:p>
              </w:tc>
              <w:tc>
                <w:tcPr>
                  <w:tcW w:w="1121" w:type="pct"/>
                  <w:vAlign w:val="center"/>
                </w:tcPr>
                <w:p>
                  <w:pPr>
                    <w:jc w:val="center"/>
                    <w:rPr>
                      <w:szCs w:val="21"/>
                    </w:rPr>
                  </w:pPr>
                  <w:r>
                    <w:rPr>
                      <w:szCs w:val="21"/>
                    </w:rPr>
                    <w:t>废润滑油</w:t>
                  </w:r>
                </w:p>
              </w:tc>
              <w:tc>
                <w:tcPr>
                  <w:tcW w:w="1121" w:type="pct"/>
                  <w:vAlign w:val="center"/>
                </w:tcPr>
                <w:p>
                  <w:pPr>
                    <w:jc w:val="center"/>
                    <w:rPr>
                      <w:szCs w:val="21"/>
                    </w:rPr>
                  </w:pPr>
                  <w:r>
                    <w:rPr>
                      <w:szCs w:val="21"/>
                    </w:rPr>
                    <w:t>机械检修</w:t>
                  </w:r>
                </w:p>
              </w:tc>
              <w:tc>
                <w:tcPr>
                  <w:tcW w:w="607" w:type="pct"/>
                  <w:vAlign w:val="center"/>
                </w:tcPr>
                <w:p>
                  <w:pPr>
                    <w:jc w:val="center"/>
                    <w:rPr>
                      <w:szCs w:val="21"/>
                    </w:rPr>
                  </w:pPr>
                  <w:r>
                    <w:rPr>
                      <w:szCs w:val="21"/>
                    </w:rPr>
                    <w:t>HW08</w:t>
                  </w:r>
                </w:p>
              </w:tc>
              <w:tc>
                <w:tcPr>
                  <w:tcW w:w="1080" w:type="pct"/>
                  <w:vAlign w:val="center"/>
                </w:tcPr>
                <w:p>
                  <w:pPr>
                    <w:jc w:val="center"/>
                    <w:rPr>
                      <w:szCs w:val="21"/>
                    </w:rPr>
                  </w:pPr>
                  <w:r>
                    <w:rPr>
                      <w:szCs w:val="21"/>
                    </w:rPr>
                    <w:t>900-249-08</w:t>
                  </w:r>
                </w:p>
              </w:tc>
              <w:tc>
                <w:tcPr>
                  <w:tcW w:w="615" w:type="pct"/>
                  <w:vAlign w:val="center"/>
                </w:tcPr>
                <w:p>
                  <w:pPr>
                    <w:jc w:val="center"/>
                    <w:rPr>
                      <w:szCs w:val="21"/>
                    </w:rPr>
                  </w:pPr>
                  <w:r>
                    <w:rPr>
                      <w:rFonts w:hint="eastAsia"/>
                      <w:szCs w:val="21"/>
                    </w:rPr>
                    <w:t>0</w:t>
                  </w:r>
                  <w:r>
                    <w:rPr>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6" w:type="pct"/>
                  <w:vMerge w:val="continue"/>
                  <w:vAlign w:val="center"/>
                </w:tcPr>
                <w:p>
                  <w:pPr>
                    <w:jc w:val="center"/>
                    <w:rPr>
                      <w:szCs w:val="21"/>
                    </w:rPr>
                  </w:pPr>
                </w:p>
              </w:tc>
              <w:tc>
                <w:tcPr>
                  <w:tcW w:w="1121" w:type="pct"/>
                  <w:vAlign w:val="center"/>
                </w:tcPr>
                <w:p>
                  <w:pPr>
                    <w:jc w:val="center"/>
                    <w:rPr>
                      <w:szCs w:val="21"/>
                    </w:rPr>
                  </w:pPr>
                  <w:r>
                    <w:rPr>
                      <w:szCs w:val="21"/>
                    </w:rPr>
                    <w:t>废矿物油桶</w:t>
                  </w:r>
                </w:p>
              </w:tc>
              <w:tc>
                <w:tcPr>
                  <w:tcW w:w="1121" w:type="pct"/>
                  <w:vAlign w:val="center"/>
                </w:tcPr>
                <w:p>
                  <w:pPr>
                    <w:jc w:val="center"/>
                    <w:rPr>
                      <w:szCs w:val="21"/>
                    </w:rPr>
                  </w:pPr>
                  <w:r>
                    <w:rPr>
                      <w:szCs w:val="21"/>
                    </w:rPr>
                    <w:t>/</w:t>
                  </w:r>
                </w:p>
              </w:tc>
              <w:tc>
                <w:tcPr>
                  <w:tcW w:w="607" w:type="pct"/>
                  <w:vAlign w:val="center"/>
                </w:tcPr>
                <w:p>
                  <w:pPr>
                    <w:jc w:val="center"/>
                    <w:rPr>
                      <w:szCs w:val="21"/>
                    </w:rPr>
                  </w:pPr>
                  <w:r>
                    <w:rPr>
                      <w:szCs w:val="21"/>
                    </w:rPr>
                    <w:t>HW49</w:t>
                  </w:r>
                </w:p>
              </w:tc>
              <w:tc>
                <w:tcPr>
                  <w:tcW w:w="1080" w:type="pct"/>
                  <w:vAlign w:val="center"/>
                </w:tcPr>
                <w:p>
                  <w:pPr>
                    <w:jc w:val="center"/>
                    <w:rPr>
                      <w:szCs w:val="21"/>
                    </w:rPr>
                  </w:pPr>
                  <w:r>
                    <w:rPr>
                      <w:szCs w:val="21"/>
                    </w:rPr>
                    <w:t>900-041-49</w:t>
                  </w:r>
                </w:p>
              </w:tc>
              <w:tc>
                <w:tcPr>
                  <w:tcW w:w="615" w:type="pct"/>
                  <w:vAlign w:val="center"/>
                </w:tcPr>
                <w:p>
                  <w:pPr>
                    <w:jc w:val="center"/>
                    <w:rPr>
                      <w:szCs w:val="21"/>
                    </w:rPr>
                  </w:pPr>
                  <w:r>
                    <w:rPr>
                      <w:rFonts w:hint="eastAsia"/>
                      <w:szCs w:val="21"/>
                    </w:rPr>
                    <w:t>0</w:t>
                  </w:r>
                  <w:r>
                    <w:rPr>
                      <w:szCs w:val="21"/>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6" w:type="pct"/>
                  <w:vMerge w:val="continue"/>
                  <w:vAlign w:val="center"/>
                </w:tcPr>
                <w:p>
                  <w:pPr>
                    <w:jc w:val="center"/>
                    <w:rPr>
                      <w:szCs w:val="21"/>
                    </w:rPr>
                  </w:pPr>
                </w:p>
              </w:tc>
              <w:tc>
                <w:tcPr>
                  <w:tcW w:w="1121" w:type="pct"/>
                  <w:vAlign w:val="center"/>
                </w:tcPr>
                <w:p>
                  <w:pPr>
                    <w:jc w:val="center"/>
                    <w:rPr>
                      <w:color w:val="0000FF"/>
                      <w:szCs w:val="21"/>
                    </w:rPr>
                  </w:pPr>
                  <w:r>
                    <w:rPr>
                      <w:color w:val="0000FF"/>
                      <w:szCs w:val="21"/>
                    </w:rPr>
                    <w:t>含油棉纱、抹布</w:t>
                  </w:r>
                </w:p>
              </w:tc>
              <w:tc>
                <w:tcPr>
                  <w:tcW w:w="1121" w:type="pct"/>
                  <w:vAlign w:val="center"/>
                </w:tcPr>
                <w:p>
                  <w:pPr>
                    <w:jc w:val="center"/>
                    <w:rPr>
                      <w:color w:val="0000FF"/>
                      <w:szCs w:val="21"/>
                    </w:rPr>
                  </w:pPr>
                  <w:r>
                    <w:rPr>
                      <w:color w:val="0000FF"/>
                      <w:szCs w:val="21"/>
                    </w:rPr>
                    <w:t>机械维修</w:t>
                  </w:r>
                </w:p>
              </w:tc>
              <w:tc>
                <w:tcPr>
                  <w:tcW w:w="607" w:type="pct"/>
                  <w:vAlign w:val="center"/>
                </w:tcPr>
                <w:p>
                  <w:pPr>
                    <w:jc w:val="center"/>
                    <w:rPr>
                      <w:color w:val="0000FF"/>
                      <w:szCs w:val="21"/>
                    </w:rPr>
                  </w:pPr>
                  <w:r>
                    <w:rPr>
                      <w:color w:val="0000FF"/>
                      <w:szCs w:val="21"/>
                    </w:rPr>
                    <w:t>/</w:t>
                  </w:r>
                </w:p>
              </w:tc>
              <w:tc>
                <w:tcPr>
                  <w:tcW w:w="1080" w:type="pct"/>
                  <w:vAlign w:val="center"/>
                </w:tcPr>
                <w:p>
                  <w:pPr>
                    <w:jc w:val="center"/>
                    <w:rPr>
                      <w:color w:val="0000FF"/>
                      <w:szCs w:val="21"/>
                    </w:rPr>
                  </w:pPr>
                  <w:r>
                    <w:rPr>
                      <w:color w:val="0000FF"/>
                      <w:szCs w:val="21"/>
                    </w:rPr>
                    <w:t>/</w:t>
                  </w:r>
                </w:p>
              </w:tc>
              <w:tc>
                <w:tcPr>
                  <w:tcW w:w="615" w:type="pct"/>
                  <w:vAlign w:val="center"/>
                </w:tcPr>
                <w:p>
                  <w:pPr>
                    <w:jc w:val="center"/>
                    <w:rPr>
                      <w:color w:val="0000FF"/>
                      <w:szCs w:val="21"/>
                    </w:rPr>
                  </w:pPr>
                  <w:r>
                    <w:rPr>
                      <w:rFonts w:hint="eastAsia"/>
                      <w:color w:val="0000FF"/>
                      <w:szCs w:val="21"/>
                    </w:rPr>
                    <w:t>0</w:t>
                  </w:r>
                  <w:r>
                    <w:rPr>
                      <w:color w:val="0000FF"/>
                      <w:szCs w:val="21"/>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6" w:type="pct"/>
                  <w:vMerge w:val="restart"/>
                  <w:vAlign w:val="center"/>
                </w:tcPr>
                <w:p>
                  <w:pPr>
                    <w:jc w:val="center"/>
                    <w:rPr>
                      <w:szCs w:val="21"/>
                    </w:rPr>
                  </w:pPr>
                  <w:r>
                    <w:rPr>
                      <w:szCs w:val="21"/>
                    </w:rPr>
                    <w:t>一般固废</w:t>
                  </w:r>
                </w:p>
              </w:tc>
              <w:tc>
                <w:tcPr>
                  <w:tcW w:w="1121" w:type="pct"/>
                  <w:vAlign w:val="center"/>
                </w:tcPr>
                <w:p>
                  <w:pPr>
                    <w:jc w:val="center"/>
                    <w:rPr>
                      <w:szCs w:val="21"/>
                    </w:rPr>
                  </w:pPr>
                  <w:r>
                    <w:rPr>
                      <w:szCs w:val="21"/>
                    </w:rPr>
                    <w:t>沉淀池污泥</w:t>
                  </w:r>
                </w:p>
              </w:tc>
              <w:tc>
                <w:tcPr>
                  <w:tcW w:w="1121" w:type="pct"/>
                  <w:vAlign w:val="center"/>
                </w:tcPr>
                <w:p>
                  <w:pPr>
                    <w:jc w:val="center"/>
                    <w:rPr>
                      <w:szCs w:val="21"/>
                    </w:rPr>
                  </w:pPr>
                  <w:r>
                    <w:rPr>
                      <w:szCs w:val="21"/>
                    </w:rPr>
                    <w:t>三沉淀池</w:t>
                  </w:r>
                </w:p>
              </w:tc>
              <w:tc>
                <w:tcPr>
                  <w:tcW w:w="607" w:type="pct"/>
                  <w:vAlign w:val="center"/>
                </w:tcPr>
                <w:p>
                  <w:pPr>
                    <w:jc w:val="center"/>
                    <w:rPr>
                      <w:szCs w:val="21"/>
                    </w:rPr>
                  </w:pPr>
                  <w:r>
                    <w:rPr>
                      <w:szCs w:val="21"/>
                    </w:rPr>
                    <w:t>61</w:t>
                  </w:r>
                </w:p>
              </w:tc>
              <w:tc>
                <w:tcPr>
                  <w:tcW w:w="1080" w:type="pct"/>
                  <w:vAlign w:val="center"/>
                </w:tcPr>
                <w:p>
                  <w:pPr>
                    <w:jc w:val="center"/>
                    <w:rPr>
                      <w:szCs w:val="21"/>
                    </w:rPr>
                  </w:pPr>
                  <w:r>
                    <w:rPr>
                      <w:szCs w:val="21"/>
                    </w:rPr>
                    <w:t>900-999-61</w:t>
                  </w:r>
                </w:p>
              </w:tc>
              <w:tc>
                <w:tcPr>
                  <w:tcW w:w="615" w:type="pct"/>
                  <w:vAlign w:val="center"/>
                </w:tcPr>
                <w:p>
                  <w:pPr>
                    <w:jc w:val="center"/>
                    <w:rPr>
                      <w:szCs w:val="21"/>
                    </w:rPr>
                  </w:pPr>
                  <w:r>
                    <w:rPr>
                      <w:szCs w:val="21"/>
                    </w:rPr>
                    <w:t>12000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56" w:type="pct"/>
                  <w:vMerge w:val="continue"/>
                  <w:vAlign w:val="center"/>
                </w:tcPr>
                <w:p>
                  <w:pPr>
                    <w:jc w:val="center"/>
                    <w:rPr>
                      <w:szCs w:val="21"/>
                    </w:rPr>
                  </w:pPr>
                </w:p>
              </w:tc>
              <w:tc>
                <w:tcPr>
                  <w:tcW w:w="1121" w:type="pct"/>
                  <w:vAlign w:val="center"/>
                </w:tcPr>
                <w:p>
                  <w:pPr>
                    <w:jc w:val="center"/>
                    <w:rPr>
                      <w:szCs w:val="21"/>
                    </w:rPr>
                  </w:pPr>
                  <w:r>
                    <w:rPr>
                      <w:rFonts w:hint="eastAsia"/>
                      <w:szCs w:val="21"/>
                    </w:rPr>
                    <w:t>化粪池污泥</w:t>
                  </w:r>
                </w:p>
              </w:tc>
              <w:tc>
                <w:tcPr>
                  <w:tcW w:w="1121" w:type="pct"/>
                  <w:vAlign w:val="center"/>
                </w:tcPr>
                <w:p>
                  <w:pPr>
                    <w:jc w:val="center"/>
                    <w:rPr>
                      <w:szCs w:val="21"/>
                    </w:rPr>
                  </w:pPr>
                  <w:r>
                    <w:rPr>
                      <w:rFonts w:hint="eastAsia"/>
                      <w:szCs w:val="21"/>
                    </w:rPr>
                    <w:t>还差</w:t>
                  </w:r>
                </w:p>
              </w:tc>
              <w:tc>
                <w:tcPr>
                  <w:tcW w:w="607" w:type="pct"/>
                  <w:vAlign w:val="center"/>
                </w:tcPr>
                <w:p>
                  <w:pPr>
                    <w:jc w:val="center"/>
                    <w:rPr>
                      <w:szCs w:val="21"/>
                    </w:rPr>
                  </w:pPr>
                  <w:r>
                    <w:rPr>
                      <w:szCs w:val="21"/>
                    </w:rPr>
                    <w:t>61</w:t>
                  </w:r>
                </w:p>
              </w:tc>
              <w:tc>
                <w:tcPr>
                  <w:tcW w:w="1080" w:type="pct"/>
                  <w:vAlign w:val="center"/>
                </w:tcPr>
                <w:p>
                  <w:pPr>
                    <w:jc w:val="center"/>
                    <w:rPr>
                      <w:szCs w:val="21"/>
                    </w:rPr>
                  </w:pPr>
                  <w:r>
                    <w:rPr>
                      <w:szCs w:val="21"/>
                    </w:rPr>
                    <w:t>900-999-61</w:t>
                  </w:r>
                </w:p>
              </w:tc>
              <w:tc>
                <w:tcPr>
                  <w:tcW w:w="615" w:type="pct"/>
                  <w:vAlign w:val="center"/>
                </w:tcPr>
                <w:p>
                  <w:pPr>
                    <w:jc w:val="center"/>
                    <w:rPr>
                      <w:szCs w:val="21"/>
                    </w:rPr>
                  </w:pPr>
                  <w:r>
                    <w:rPr>
                      <w:rFonts w:hint="eastAsia"/>
                      <w:szCs w:val="21"/>
                    </w:rPr>
                    <w:t>0</w:t>
                  </w:r>
                  <w:r>
                    <w:rPr>
                      <w:szCs w:val="21"/>
                    </w:rPr>
                    <w:t>.000123</w:t>
                  </w:r>
                </w:p>
              </w:tc>
            </w:tr>
            <w:bookmarkEnd w:id="58"/>
          </w:tbl>
          <w:p>
            <w:pPr>
              <w:pStyle w:val="18"/>
              <w:ind w:left="-15" w:right="-48" w:firstLine="494"/>
              <w:textAlignment w:val="auto"/>
              <w:rPr>
                <w:rFonts w:ascii="Times New Roman" w:eastAsia="宋体"/>
                <w:b/>
                <w:bCs/>
                <w:color w:val="auto"/>
              </w:rPr>
            </w:pPr>
          </w:p>
          <w:p>
            <w:pPr>
              <w:pStyle w:val="18"/>
              <w:ind w:left="-15" w:right="-48" w:firstLine="494"/>
              <w:textAlignment w:val="auto"/>
              <w:rPr>
                <w:rFonts w:ascii="Times New Roman" w:eastAsia="宋体"/>
                <w:b/>
                <w:bCs/>
                <w:color w:val="auto"/>
              </w:rPr>
            </w:pPr>
            <w:r>
              <w:rPr>
                <w:rFonts w:hint="eastAsia" w:ascii="Times New Roman" w:eastAsia="宋体"/>
                <w:b/>
                <w:bCs/>
                <w:color w:val="auto"/>
              </w:rPr>
              <w:t>表4</w:t>
            </w:r>
            <w:r>
              <w:rPr>
                <w:rFonts w:ascii="Times New Roman" w:eastAsia="宋体"/>
                <w:b/>
                <w:bCs/>
                <w:color w:val="auto"/>
              </w:rPr>
              <w:t xml:space="preserve">.9-2  </w:t>
            </w:r>
            <w:r>
              <w:rPr>
                <w:rFonts w:hint="eastAsia" w:ascii="Times New Roman" w:eastAsia="宋体"/>
                <w:b/>
                <w:bCs/>
                <w:color w:val="auto"/>
              </w:rPr>
              <w:t>危险废物情况一览表</w:t>
            </w:r>
          </w:p>
          <w:tbl>
            <w:tblPr>
              <w:tblStyle w:val="75"/>
              <w:tblW w:w="0" w:type="auto"/>
              <w:jc w:val="center"/>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Layout w:type="autofit"/>
              <w:tblCellMar>
                <w:top w:w="0" w:type="dxa"/>
                <w:left w:w="0" w:type="dxa"/>
                <w:bottom w:w="0" w:type="dxa"/>
                <w:right w:w="0" w:type="dxa"/>
              </w:tblCellMar>
            </w:tblPr>
            <w:tblGrid>
              <w:gridCol w:w="376"/>
              <w:gridCol w:w="1230"/>
              <w:gridCol w:w="639"/>
              <w:gridCol w:w="1227"/>
              <w:gridCol w:w="836"/>
              <w:gridCol w:w="699"/>
              <w:gridCol w:w="370"/>
              <w:gridCol w:w="695"/>
              <w:gridCol w:w="695"/>
              <w:gridCol w:w="694"/>
              <w:gridCol w:w="1013"/>
            </w:tblGrid>
            <w:tr>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0" w:type="dxa"/>
                  <w:bottom w:w="0" w:type="dxa"/>
                  <w:right w:w="0" w:type="dxa"/>
                </w:tblCellMar>
              </w:tblPrEx>
              <w:trPr>
                <w:trHeight w:val="20" w:hRule="atLeast"/>
                <w:jc w:val="center"/>
              </w:trPr>
              <w:tc>
                <w:tcPr>
                  <w:tcW w:w="0" w:type="auto"/>
                  <w:vAlign w:val="center"/>
                </w:tcPr>
                <w:p>
                  <w:pPr>
                    <w:widowControl/>
                    <w:kinsoku w:val="0"/>
                    <w:autoSpaceDE w:val="0"/>
                    <w:autoSpaceDN w:val="0"/>
                    <w:adjustRightInd w:val="0"/>
                    <w:snapToGrid w:val="0"/>
                    <w:jc w:val="center"/>
                    <w:textAlignment w:val="baseline"/>
                    <w:rPr>
                      <w:b/>
                      <w:bCs/>
                      <w:snapToGrid w:val="0"/>
                      <w:szCs w:val="21"/>
                    </w:rPr>
                  </w:pPr>
                  <w:r>
                    <w:rPr>
                      <w:b/>
                      <w:bCs/>
                      <w:snapToGrid w:val="0"/>
                      <w:spacing w:val="-2"/>
                      <w:szCs w:val="21"/>
                    </w:rPr>
                    <w:t>序</w:t>
                  </w:r>
                  <w:r>
                    <w:rPr>
                      <w:b/>
                      <w:bCs/>
                      <w:snapToGrid w:val="0"/>
                      <w:spacing w:val="-1"/>
                      <w:szCs w:val="21"/>
                    </w:rPr>
                    <w:t>号</w:t>
                  </w:r>
                </w:p>
              </w:tc>
              <w:tc>
                <w:tcPr>
                  <w:tcW w:w="0" w:type="auto"/>
                  <w:vAlign w:val="center"/>
                </w:tcPr>
                <w:p>
                  <w:pPr>
                    <w:widowControl/>
                    <w:kinsoku w:val="0"/>
                    <w:autoSpaceDE w:val="0"/>
                    <w:autoSpaceDN w:val="0"/>
                    <w:adjustRightInd w:val="0"/>
                    <w:snapToGrid w:val="0"/>
                    <w:jc w:val="center"/>
                    <w:textAlignment w:val="baseline"/>
                    <w:rPr>
                      <w:b/>
                      <w:bCs/>
                      <w:snapToGrid w:val="0"/>
                      <w:szCs w:val="21"/>
                    </w:rPr>
                  </w:pPr>
                  <w:r>
                    <w:rPr>
                      <w:b/>
                      <w:bCs/>
                      <w:snapToGrid w:val="0"/>
                      <w:spacing w:val="-3"/>
                      <w:szCs w:val="21"/>
                    </w:rPr>
                    <w:t>名</w:t>
                  </w:r>
                  <w:r>
                    <w:rPr>
                      <w:b/>
                      <w:bCs/>
                      <w:snapToGrid w:val="0"/>
                      <w:spacing w:val="-2"/>
                      <w:szCs w:val="21"/>
                    </w:rPr>
                    <w:t>称</w:t>
                  </w:r>
                </w:p>
              </w:tc>
              <w:tc>
                <w:tcPr>
                  <w:tcW w:w="0" w:type="auto"/>
                  <w:vAlign w:val="center"/>
                </w:tcPr>
                <w:p>
                  <w:pPr>
                    <w:widowControl/>
                    <w:kinsoku w:val="0"/>
                    <w:autoSpaceDE w:val="0"/>
                    <w:autoSpaceDN w:val="0"/>
                    <w:adjustRightInd w:val="0"/>
                    <w:snapToGrid w:val="0"/>
                    <w:jc w:val="center"/>
                    <w:textAlignment w:val="baseline"/>
                    <w:rPr>
                      <w:b/>
                      <w:bCs/>
                      <w:snapToGrid w:val="0"/>
                      <w:szCs w:val="21"/>
                    </w:rPr>
                  </w:pPr>
                  <w:r>
                    <w:rPr>
                      <w:b/>
                      <w:bCs/>
                      <w:snapToGrid w:val="0"/>
                      <w:spacing w:val="-2"/>
                      <w:szCs w:val="21"/>
                    </w:rPr>
                    <w:t>类</w:t>
                  </w:r>
                  <w:r>
                    <w:rPr>
                      <w:b/>
                      <w:bCs/>
                      <w:snapToGrid w:val="0"/>
                      <w:spacing w:val="-1"/>
                      <w:szCs w:val="21"/>
                    </w:rPr>
                    <w:t>别</w:t>
                  </w:r>
                </w:p>
              </w:tc>
              <w:tc>
                <w:tcPr>
                  <w:tcW w:w="0" w:type="auto"/>
                  <w:vAlign w:val="center"/>
                </w:tcPr>
                <w:p>
                  <w:pPr>
                    <w:widowControl/>
                    <w:kinsoku w:val="0"/>
                    <w:autoSpaceDE w:val="0"/>
                    <w:autoSpaceDN w:val="0"/>
                    <w:adjustRightInd w:val="0"/>
                    <w:snapToGrid w:val="0"/>
                    <w:jc w:val="center"/>
                    <w:textAlignment w:val="baseline"/>
                    <w:rPr>
                      <w:b/>
                      <w:bCs/>
                      <w:snapToGrid w:val="0"/>
                      <w:szCs w:val="21"/>
                    </w:rPr>
                  </w:pPr>
                  <w:r>
                    <w:rPr>
                      <w:b/>
                      <w:bCs/>
                      <w:snapToGrid w:val="0"/>
                      <w:spacing w:val="-2"/>
                      <w:szCs w:val="21"/>
                    </w:rPr>
                    <w:t>代</w:t>
                  </w:r>
                  <w:r>
                    <w:rPr>
                      <w:b/>
                      <w:bCs/>
                      <w:snapToGrid w:val="0"/>
                      <w:spacing w:val="-1"/>
                      <w:szCs w:val="21"/>
                    </w:rPr>
                    <w:t>码</w:t>
                  </w:r>
                </w:p>
              </w:tc>
              <w:tc>
                <w:tcPr>
                  <w:tcW w:w="0" w:type="auto"/>
                  <w:vAlign w:val="center"/>
                </w:tcPr>
                <w:p>
                  <w:pPr>
                    <w:widowControl/>
                    <w:kinsoku w:val="0"/>
                    <w:autoSpaceDE w:val="0"/>
                    <w:autoSpaceDN w:val="0"/>
                    <w:adjustRightInd w:val="0"/>
                    <w:snapToGrid w:val="0"/>
                    <w:jc w:val="center"/>
                    <w:textAlignment w:val="baseline"/>
                    <w:rPr>
                      <w:b/>
                      <w:bCs/>
                      <w:snapToGrid w:val="0"/>
                      <w:szCs w:val="21"/>
                    </w:rPr>
                  </w:pPr>
                  <w:r>
                    <w:rPr>
                      <w:b/>
                      <w:bCs/>
                      <w:snapToGrid w:val="0"/>
                      <w:spacing w:val="-2"/>
                      <w:szCs w:val="21"/>
                    </w:rPr>
                    <w:t>产生</w:t>
                  </w:r>
                  <w:r>
                    <w:rPr>
                      <w:b/>
                      <w:bCs/>
                      <w:snapToGrid w:val="0"/>
                      <w:spacing w:val="-1"/>
                      <w:szCs w:val="21"/>
                    </w:rPr>
                    <w:t>量t/</w:t>
                  </w:r>
                  <w:r>
                    <w:rPr>
                      <w:b/>
                      <w:bCs/>
                      <w:snapToGrid w:val="0"/>
                      <w:szCs w:val="21"/>
                    </w:rPr>
                    <w:t>a</w:t>
                  </w:r>
                </w:p>
              </w:tc>
              <w:tc>
                <w:tcPr>
                  <w:tcW w:w="0" w:type="auto"/>
                  <w:vAlign w:val="center"/>
                </w:tcPr>
                <w:p>
                  <w:pPr>
                    <w:widowControl/>
                    <w:kinsoku w:val="0"/>
                    <w:autoSpaceDE w:val="0"/>
                    <w:autoSpaceDN w:val="0"/>
                    <w:adjustRightInd w:val="0"/>
                    <w:snapToGrid w:val="0"/>
                    <w:jc w:val="center"/>
                    <w:textAlignment w:val="baseline"/>
                    <w:rPr>
                      <w:b/>
                      <w:bCs/>
                      <w:snapToGrid w:val="0"/>
                      <w:spacing w:val="-1"/>
                      <w:szCs w:val="21"/>
                    </w:rPr>
                  </w:pPr>
                  <w:r>
                    <w:rPr>
                      <w:b/>
                      <w:bCs/>
                      <w:snapToGrid w:val="0"/>
                      <w:spacing w:val="-1"/>
                      <w:szCs w:val="21"/>
                    </w:rPr>
                    <w:t>产生</w:t>
                  </w:r>
                  <w:r>
                    <w:rPr>
                      <w:rFonts w:hint="eastAsia"/>
                      <w:b/>
                      <w:bCs/>
                      <w:snapToGrid w:val="0"/>
                      <w:spacing w:val="-1"/>
                      <w:szCs w:val="21"/>
                    </w:rPr>
                    <w:t>环节</w:t>
                  </w:r>
                </w:p>
              </w:tc>
              <w:tc>
                <w:tcPr>
                  <w:tcW w:w="0" w:type="auto"/>
                  <w:vAlign w:val="center"/>
                </w:tcPr>
                <w:p>
                  <w:pPr>
                    <w:widowControl/>
                    <w:kinsoku w:val="0"/>
                    <w:autoSpaceDE w:val="0"/>
                    <w:autoSpaceDN w:val="0"/>
                    <w:adjustRightInd w:val="0"/>
                    <w:snapToGrid w:val="0"/>
                    <w:jc w:val="center"/>
                    <w:textAlignment w:val="baseline"/>
                    <w:rPr>
                      <w:b/>
                      <w:bCs/>
                      <w:snapToGrid w:val="0"/>
                      <w:szCs w:val="21"/>
                    </w:rPr>
                  </w:pPr>
                  <w:r>
                    <w:rPr>
                      <w:b/>
                      <w:bCs/>
                      <w:snapToGrid w:val="0"/>
                      <w:spacing w:val="-3"/>
                      <w:szCs w:val="21"/>
                    </w:rPr>
                    <w:t>形</w:t>
                  </w:r>
                  <w:r>
                    <w:rPr>
                      <w:b/>
                      <w:bCs/>
                      <w:snapToGrid w:val="0"/>
                      <w:spacing w:val="-2"/>
                      <w:szCs w:val="21"/>
                    </w:rPr>
                    <w:t>态</w:t>
                  </w:r>
                </w:p>
              </w:tc>
              <w:tc>
                <w:tcPr>
                  <w:tcW w:w="0" w:type="auto"/>
                  <w:vAlign w:val="center"/>
                </w:tcPr>
                <w:p>
                  <w:pPr>
                    <w:widowControl/>
                    <w:kinsoku w:val="0"/>
                    <w:autoSpaceDE w:val="0"/>
                    <w:autoSpaceDN w:val="0"/>
                    <w:adjustRightInd w:val="0"/>
                    <w:snapToGrid w:val="0"/>
                    <w:jc w:val="center"/>
                    <w:textAlignment w:val="baseline"/>
                    <w:rPr>
                      <w:b/>
                      <w:bCs/>
                      <w:snapToGrid w:val="0"/>
                      <w:szCs w:val="21"/>
                    </w:rPr>
                  </w:pPr>
                  <w:r>
                    <w:rPr>
                      <w:b/>
                      <w:bCs/>
                      <w:snapToGrid w:val="0"/>
                      <w:spacing w:val="-1"/>
                      <w:szCs w:val="21"/>
                    </w:rPr>
                    <w:t>主要成分</w:t>
                  </w:r>
                </w:p>
              </w:tc>
              <w:tc>
                <w:tcPr>
                  <w:tcW w:w="0" w:type="auto"/>
                  <w:vAlign w:val="center"/>
                </w:tcPr>
                <w:p>
                  <w:pPr>
                    <w:widowControl/>
                    <w:kinsoku w:val="0"/>
                    <w:autoSpaceDE w:val="0"/>
                    <w:autoSpaceDN w:val="0"/>
                    <w:adjustRightInd w:val="0"/>
                    <w:snapToGrid w:val="0"/>
                    <w:jc w:val="center"/>
                    <w:textAlignment w:val="baseline"/>
                    <w:rPr>
                      <w:b/>
                      <w:bCs/>
                      <w:snapToGrid w:val="0"/>
                      <w:szCs w:val="21"/>
                    </w:rPr>
                  </w:pPr>
                  <w:r>
                    <w:rPr>
                      <w:b/>
                      <w:bCs/>
                      <w:snapToGrid w:val="0"/>
                      <w:spacing w:val="-1"/>
                      <w:szCs w:val="21"/>
                    </w:rPr>
                    <w:t>有害成分</w:t>
                  </w:r>
                </w:p>
              </w:tc>
              <w:tc>
                <w:tcPr>
                  <w:tcW w:w="0" w:type="auto"/>
                  <w:vAlign w:val="center"/>
                </w:tcPr>
                <w:p>
                  <w:pPr>
                    <w:widowControl/>
                    <w:kinsoku w:val="0"/>
                    <w:autoSpaceDE w:val="0"/>
                    <w:autoSpaceDN w:val="0"/>
                    <w:adjustRightInd w:val="0"/>
                    <w:snapToGrid w:val="0"/>
                    <w:jc w:val="center"/>
                    <w:textAlignment w:val="baseline"/>
                    <w:rPr>
                      <w:b/>
                      <w:bCs/>
                      <w:snapToGrid w:val="0"/>
                      <w:szCs w:val="21"/>
                    </w:rPr>
                  </w:pPr>
                  <w:r>
                    <w:rPr>
                      <w:b/>
                      <w:bCs/>
                      <w:snapToGrid w:val="0"/>
                      <w:spacing w:val="-2"/>
                      <w:szCs w:val="21"/>
                    </w:rPr>
                    <w:t>产废</w:t>
                  </w:r>
                  <w:r>
                    <w:rPr>
                      <w:b/>
                      <w:bCs/>
                      <w:snapToGrid w:val="0"/>
                      <w:spacing w:val="-1"/>
                      <w:szCs w:val="21"/>
                    </w:rPr>
                    <w:t>周</w:t>
                  </w:r>
                  <w:r>
                    <w:rPr>
                      <w:b/>
                      <w:bCs/>
                      <w:snapToGrid w:val="0"/>
                      <w:szCs w:val="21"/>
                    </w:rPr>
                    <w:t>期</w:t>
                  </w:r>
                </w:p>
              </w:tc>
              <w:tc>
                <w:tcPr>
                  <w:tcW w:w="0" w:type="auto"/>
                  <w:vAlign w:val="center"/>
                </w:tcPr>
                <w:p>
                  <w:pPr>
                    <w:widowControl/>
                    <w:kinsoku w:val="0"/>
                    <w:autoSpaceDE w:val="0"/>
                    <w:autoSpaceDN w:val="0"/>
                    <w:adjustRightInd w:val="0"/>
                    <w:snapToGrid w:val="0"/>
                    <w:jc w:val="center"/>
                    <w:textAlignment w:val="baseline"/>
                    <w:rPr>
                      <w:b/>
                      <w:bCs/>
                      <w:snapToGrid w:val="0"/>
                      <w:szCs w:val="21"/>
                    </w:rPr>
                  </w:pPr>
                  <w:r>
                    <w:rPr>
                      <w:b/>
                      <w:bCs/>
                      <w:snapToGrid w:val="0"/>
                      <w:spacing w:val="-4"/>
                      <w:szCs w:val="21"/>
                    </w:rPr>
                    <w:t>环境危</w:t>
                  </w:r>
                  <w:r>
                    <w:rPr>
                      <w:b/>
                      <w:bCs/>
                      <w:snapToGrid w:val="0"/>
                      <w:spacing w:val="-2"/>
                      <w:szCs w:val="21"/>
                    </w:rPr>
                    <w:t>险特</w:t>
                  </w:r>
                  <w:r>
                    <w:rPr>
                      <w:b/>
                      <w:bCs/>
                      <w:snapToGrid w:val="0"/>
                      <w:szCs w:val="21"/>
                    </w:rPr>
                    <w:t>性</w:t>
                  </w:r>
                </w:p>
              </w:tc>
            </w:tr>
            <w:tr>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0" w:type="dxa"/>
                  <w:bottom w:w="0" w:type="dxa"/>
                  <w:right w:w="0" w:type="dxa"/>
                </w:tblCellMar>
              </w:tblPrEx>
              <w:trPr>
                <w:trHeight w:val="20" w:hRule="atLeast"/>
                <w:jc w:val="center"/>
              </w:trPr>
              <w:tc>
                <w:tcPr>
                  <w:tcW w:w="0" w:type="auto"/>
                  <w:vAlign w:val="center"/>
                </w:tcPr>
                <w:p>
                  <w:pPr>
                    <w:widowControl/>
                    <w:kinsoku w:val="0"/>
                    <w:autoSpaceDE w:val="0"/>
                    <w:autoSpaceDN w:val="0"/>
                    <w:adjustRightInd w:val="0"/>
                    <w:snapToGrid w:val="0"/>
                    <w:jc w:val="center"/>
                    <w:textAlignment w:val="baseline"/>
                    <w:rPr>
                      <w:snapToGrid w:val="0"/>
                      <w:szCs w:val="21"/>
                    </w:rPr>
                  </w:pPr>
                  <w:r>
                    <w:rPr>
                      <w:snapToGrid w:val="0"/>
                      <w:szCs w:val="21"/>
                    </w:rPr>
                    <w:t>1</w:t>
                  </w:r>
                </w:p>
              </w:tc>
              <w:tc>
                <w:tcPr>
                  <w:tcW w:w="0" w:type="auto"/>
                  <w:vAlign w:val="center"/>
                </w:tcPr>
                <w:p>
                  <w:pPr>
                    <w:widowControl/>
                    <w:kinsoku w:val="0"/>
                    <w:autoSpaceDE w:val="0"/>
                    <w:autoSpaceDN w:val="0"/>
                    <w:adjustRightInd w:val="0"/>
                    <w:snapToGrid w:val="0"/>
                    <w:jc w:val="center"/>
                    <w:textAlignment w:val="baseline"/>
                    <w:rPr>
                      <w:snapToGrid w:val="0"/>
                      <w:spacing w:val="-1"/>
                      <w:szCs w:val="21"/>
                    </w:rPr>
                  </w:pPr>
                  <w:r>
                    <w:rPr>
                      <w:szCs w:val="21"/>
                    </w:rPr>
                    <w:t>废润滑油</w:t>
                  </w:r>
                </w:p>
              </w:tc>
              <w:tc>
                <w:tcPr>
                  <w:tcW w:w="0" w:type="auto"/>
                  <w:vAlign w:val="center"/>
                </w:tcPr>
                <w:p>
                  <w:pPr>
                    <w:widowControl/>
                    <w:kinsoku w:val="0"/>
                    <w:autoSpaceDE w:val="0"/>
                    <w:autoSpaceDN w:val="0"/>
                    <w:adjustRightInd w:val="0"/>
                    <w:snapToGrid w:val="0"/>
                    <w:jc w:val="center"/>
                    <w:textAlignment w:val="baseline"/>
                    <w:rPr>
                      <w:snapToGrid w:val="0"/>
                      <w:szCs w:val="21"/>
                    </w:rPr>
                  </w:pPr>
                  <w:r>
                    <w:rPr>
                      <w:szCs w:val="21"/>
                    </w:rPr>
                    <w:t>HW08</w:t>
                  </w:r>
                </w:p>
              </w:tc>
              <w:tc>
                <w:tcPr>
                  <w:tcW w:w="0" w:type="auto"/>
                  <w:vAlign w:val="center"/>
                </w:tcPr>
                <w:p>
                  <w:pPr>
                    <w:widowControl/>
                    <w:kinsoku w:val="0"/>
                    <w:autoSpaceDE w:val="0"/>
                    <w:autoSpaceDN w:val="0"/>
                    <w:adjustRightInd w:val="0"/>
                    <w:snapToGrid w:val="0"/>
                    <w:jc w:val="center"/>
                    <w:textAlignment w:val="baseline"/>
                    <w:rPr>
                      <w:snapToGrid w:val="0"/>
                      <w:spacing w:val="-1"/>
                      <w:szCs w:val="21"/>
                    </w:rPr>
                  </w:pPr>
                  <w:r>
                    <w:rPr>
                      <w:szCs w:val="21"/>
                    </w:rPr>
                    <w:t>900-249-08</w:t>
                  </w:r>
                </w:p>
              </w:tc>
              <w:tc>
                <w:tcPr>
                  <w:tcW w:w="0" w:type="auto"/>
                  <w:vAlign w:val="center"/>
                </w:tcPr>
                <w:p>
                  <w:pPr>
                    <w:widowControl/>
                    <w:kinsoku w:val="0"/>
                    <w:autoSpaceDE w:val="0"/>
                    <w:autoSpaceDN w:val="0"/>
                    <w:adjustRightInd w:val="0"/>
                    <w:snapToGrid w:val="0"/>
                    <w:jc w:val="center"/>
                    <w:textAlignment w:val="baseline"/>
                    <w:rPr>
                      <w:snapToGrid w:val="0"/>
                      <w:szCs w:val="21"/>
                    </w:rPr>
                  </w:pPr>
                  <w:r>
                    <w:rPr>
                      <w:szCs w:val="21"/>
                    </w:rPr>
                    <w:t>0.1</w:t>
                  </w:r>
                </w:p>
              </w:tc>
              <w:tc>
                <w:tcPr>
                  <w:tcW w:w="0" w:type="auto"/>
                  <w:vAlign w:val="center"/>
                </w:tcPr>
                <w:p>
                  <w:pPr>
                    <w:widowControl/>
                    <w:kinsoku w:val="0"/>
                    <w:autoSpaceDE w:val="0"/>
                    <w:autoSpaceDN w:val="0"/>
                    <w:adjustRightInd w:val="0"/>
                    <w:snapToGrid w:val="0"/>
                    <w:jc w:val="center"/>
                    <w:textAlignment w:val="baseline"/>
                    <w:rPr>
                      <w:snapToGrid w:val="0"/>
                      <w:spacing w:val="-1"/>
                      <w:szCs w:val="21"/>
                    </w:rPr>
                  </w:pPr>
                  <w:r>
                    <w:rPr>
                      <w:szCs w:val="21"/>
                    </w:rPr>
                    <w:t>机械检修</w:t>
                  </w:r>
                </w:p>
              </w:tc>
              <w:tc>
                <w:tcPr>
                  <w:tcW w:w="0" w:type="auto"/>
                  <w:vAlign w:val="center"/>
                </w:tcPr>
                <w:p>
                  <w:pPr>
                    <w:widowControl/>
                    <w:kinsoku w:val="0"/>
                    <w:autoSpaceDE w:val="0"/>
                    <w:autoSpaceDN w:val="0"/>
                    <w:adjustRightInd w:val="0"/>
                    <w:snapToGrid w:val="0"/>
                    <w:jc w:val="center"/>
                    <w:textAlignment w:val="baseline"/>
                    <w:rPr>
                      <w:snapToGrid w:val="0"/>
                      <w:spacing w:val="-7"/>
                      <w:szCs w:val="21"/>
                    </w:rPr>
                  </w:pPr>
                  <w:r>
                    <w:rPr>
                      <w:snapToGrid w:val="0"/>
                      <w:spacing w:val="-7"/>
                      <w:szCs w:val="21"/>
                    </w:rPr>
                    <w:t>液态</w:t>
                  </w:r>
                </w:p>
              </w:tc>
              <w:tc>
                <w:tcPr>
                  <w:tcW w:w="0" w:type="auto"/>
                  <w:vAlign w:val="center"/>
                </w:tcPr>
                <w:p>
                  <w:pPr>
                    <w:widowControl/>
                    <w:kinsoku w:val="0"/>
                    <w:autoSpaceDE w:val="0"/>
                    <w:autoSpaceDN w:val="0"/>
                    <w:adjustRightInd w:val="0"/>
                    <w:snapToGrid w:val="0"/>
                    <w:jc w:val="center"/>
                    <w:textAlignment w:val="baseline"/>
                    <w:rPr>
                      <w:snapToGrid w:val="0"/>
                      <w:spacing w:val="-7"/>
                      <w:szCs w:val="21"/>
                    </w:rPr>
                  </w:pPr>
                  <w:r>
                    <w:rPr>
                      <w:snapToGrid w:val="0"/>
                      <w:spacing w:val="-7"/>
                      <w:szCs w:val="21"/>
                    </w:rPr>
                    <w:t>油类物质</w:t>
                  </w:r>
                </w:p>
              </w:tc>
              <w:tc>
                <w:tcPr>
                  <w:tcW w:w="0" w:type="auto"/>
                  <w:vAlign w:val="center"/>
                </w:tcPr>
                <w:p>
                  <w:pPr>
                    <w:widowControl/>
                    <w:kinsoku w:val="0"/>
                    <w:autoSpaceDE w:val="0"/>
                    <w:autoSpaceDN w:val="0"/>
                    <w:adjustRightInd w:val="0"/>
                    <w:snapToGrid w:val="0"/>
                    <w:jc w:val="center"/>
                    <w:textAlignment w:val="baseline"/>
                    <w:rPr>
                      <w:snapToGrid w:val="0"/>
                      <w:spacing w:val="-1"/>
                      <w:szCs w:val="21"/>
                    </w:rPr>
                  </w:pPr>
                  <w:r>
                    <w:rPr>
                      <w:rFonts w:hint="eastAsia"/>
                      <w:snapToGrid w:val="0"/>
                      <w:spacing w:val="-1"/>
                      <w:szCs w:val="21"/>
                    </w:rPr>
                    <w:t>石油烃</w:t>
                  </w:r>
                </w:p>
              </w:tc>
              <w:tc>
                <w:tcPr>
                  <w:tcW w:w="0" w:type="auto"/>
                  <w:vAlign w:val="center"/>
                </w:tcPr>
                <w:p>
                  <w:pPr>
                    <w:widowControl/>
                    <w:kinsoku w:val="0"/>
                    <w:autoSpaceDE w:val="0"/>
                    <w:autoSpaceDN w:val="0"/>
                    <w:adjustRightInd w:val="0"/>
                    <w:snapToGrid w:val="0"/>
                    <w:jc w:val="center"/>
                    <w:textAlignment w:val="baseline"/>
                    <w:rPr>
                      <w:snapToGrid w:val="0"/>
                      <w:spacing w:val="-8"/>
                      <w:szCs w:val="21"/>
                    </w:rPr>
                  </w:pPr>
                  <w:r>
                    <w:rPr>
                      <w:rFonts w:hint="eastAsia"/>
                      <w:snapToGrid w:val="0"/>
                      <w:spacing w:val="-8"/>
                      <w:szCs w:val="21"/>
                    </w:rPr>
                    <w:t>每天</w:t>
                  </w:r>
                </w:p>
              </w:tc>
              <w:tc>
                <w:tcPr>
                  <w:tcW w:w="0" w:type="auto"/>
                  <w:vAlign w:val="center"/>
                </w:tcPr>
                <w:p>
                  <w:pPr>
                    <w:widowControl/>
                    <w:kinsoku w:val="0"/>
                    <w:autoSpaceDE w:val="0"/>
                    <w:autoSpaceDN w:val="0"/>
                    <w:adjustRightInd w:val="0"/>
                    <w:snapToGrid w:val="0"/>
                    <w:jc w:val="center"/>
                    <w:textAlignment w:val="baseline"/>
                    <w:rPr>
                      <w:snapToGrid w:val="0"/>
                      <w:spacing w:val="-1"/>
                      <w:szCs w:val="21"/>
                    </w:rPr>
                  </w:pPr>
                  <w:r>
                    <w:rPr>
                      <w:snapToGrid w:val="0"/>
                      <w:spacing w:val="-1"/>
                      <w:szCs w:val="21"/>
                    </w:rPr>
                    <w:t>T/I</w:t>
                  </w:r>
                </w:p>
              </w:tc>
            </w:tr>
            <w:tr>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0" w:type="dxa"/>
                  <w:bottom w:w="0" w:type="dxa"/>
                  <w:right w:w="0" w:type="dxa"/>
                </w:tblCellMar>
              </w:tblPrEx>
              <w:trPr>
                <w:trHeight w:val="20" w:hRule="atLeast"/>
                <w:jc w:val="center"/>
              </w:trPr>
              <w:tc>
                <w:tcPr>
                  <w:tcW w:w="0" w:type="auto"/>
                  <w:vAlign w:val="center"/>
                </w:tcPr>
                <w:p>
                  <w:pPr>
                    <w:widowControl/>
                    <w:kinsoku w:val="0"/>
                    <w:autoSpaceDE w:val="0"/>
                    <w:autoSpaceDN w:val="0"/>
                    <w:adjustRightInd w:val="0"/>
                    <w:snapToGrid w:val="0"/>
                    <w:jc w:val="center"/>
                    <w:textAlignment w:val="baseline"/>
                    <w:rPr>
                      <w:snapToGrid w:val="0"/>
                      <w:szCs w:val="21"/>
                    </w:rPr>
                  </w:pPr>
                  <w:r>
                    <w:rPr>
                      <w:snapToGrid w:val="0"/>
                      <w:szCs w:val="21"/>
                    </w:rPr>
                    <w:t>2</w:t>
                  </w:r>
                </w:p>
              </w:tc>
              <w:tc>
                <w:tcPr>
                  <w:tcW w:w="0" w:type="auto"/>
                  <w:vAlign w:val="center"/>
                </w:tcPr>
                <w:p>
                  <w:pPr>
                    <w:widowControl/>
                    <w:kinsoku w:val="0"/>
                    <w:autoSpaceDE w:val="0"/>
                    <w:autoSpaceDN w:val="0"/>
                    <w:adjustRightInd w:val="0"/>
                    <w:snapToGrid w:val="0"/>
                    <w:jc w:val="center"/>
                    <w:textAlignment w:val="baseline"/>
                    <w:rPr>
                      <w:snapToGrid w:val="0"/>
                      <w:spacing w:val="-1"/>
                      <w:szCs w:val="21"/>
                    </w:rPr>
                  </w:pPr>
                  <w:r>
                    <w:rPr>
                      <w:szCs w:val="21"/>
                    </w:rPr>
                    <w:t>废矿物油桶</w:t>
                  </w:r>
                </w:p>
              </w:tc>
              <w:tc>
                <w:tcPr>
                  <w:tcW w:w="0" w:type="auto"/>
                  <w:vAlign w:val="center"/>
                </w:tcPr>
                <w:p>
                  <w:pPr>
                    <w:widowControl/>
                    <w:kinsoku w:val="0"/>
                    <w:autoSpaceDE w:val="0"/>
                    <w:autoSpaceDN w:val="0"/>
                    <w:adjustRightInd w:val="0"/>
                    <w:snapToGrid w:val="0"/>
                    <w:jc w:val="center"/>
                    <w:textAlignment w:val="baseline"/>
                    <w:rPr>
                      <w:snapToGrid w:val="0"/>
                      <w:szCs w:val="21"/>
                    </w:rPr>
                  </w:pPr>
                  <w:r>
                    <w:rPr>
                      <w:szCs w:val="21"/>
                    </w:rPr>
                    <w:t>HW49</w:t>
                  </w:r>
                </w:p>
              </w:tc>
              <w:tc>
                <w:tcPr>
                  <w:tcW w:w="0" w:type="auto"/>
                  <w:vAlign w:val="center"/>
                </w:tcPr>
                <w:p>
                  <w:pPr>
                    <w:widowControl/>
                    <w:kinsoku w:val="0"/>
                    <w:autoSpaceDE w:val="0"/>
                    <w:autoSpaceDN w:val="0"/>
                    <w:adjustRightInd w:val="0"/>
                    <w:snapToGrid w:val="0"/>
                    <w:jc w:val="center"/>
                    <w:textAlignment w:val="baseline"/>
                    <w:rPr>
                      <w:snapToGrid w:val="0"/>
                      <w:spacing w:val="-1"/>
                      <w:szCs w:val="21"/>
                    </w:rPr>
                  </w:pPr>
                  <w:r>
                    <w:rPr>
                      <w:szCs w:val="21"/>
                    </w:rPr>
                    <w:t>900-041-49</w:t>
                  </w:r>
                </w:p>
              </w:tc>
              <w:tc>
                <w:tcPr>
                  <w:tcW w:w="0" w:type="auto"/>
                  <w:vAlign w:val="center"/>
                </w:tcPr>
                <w:p>
                  <w:pPr>
                    <w:widowControl/>
                    <w:kinsoku w:val="0"/>
                    <w:autoSpaceDE w:val="0"/>
                    <w:autoSpaceDN w:val="0"/>
                    <w:adjustRightInd w:val="0"/>
                    <w:snapToGrid w:val="0"/>
                    <w:jc w:val="center"/>
                    <w:textAlignment w:val="baseline"/>
                    <w:rPr>
                      <w:snapToGrid w:val="0"/>
                      <w:szCs w:val="21"/>
                    </w:rPr>
                  </w:pPr>
                  <w:r>
                    <w:rPr>
                      <w:szCs w:val="21"/>
                    </w:rPr>
                    <w:t>0.02</w:t>
                  </w:r>
                </w:p>
              </w:tc>
              <w:tc>
                <w:tcPr>
                  <w:tcW w:w="0" w:type="auto"/>
                  <w:vAlign w:val="center"/>
                </w:tcPr>
                <w:p>
                  <w:pPr>
                    <w:widowControl/>
                    <w:kinsoku w:val="0"/>
                    <w:autoSpaceDE w:val="0"/>
                    <w:autoSpaceDN w:val="0"/>
                    <w:adjustRightInd w:val="0"/>
                    <w:snapToGrid w:val="0"/>
                    <w:jc w:val="center"/>
                    <w:textAlignment w:val="baseline"/>
                    <w:rPr>
                      <w:snapToGrid w:val="0"/>
                      <w:spacing w:val="-1"/>
                      <w:szCs w:val="21"/>
                    </w:rPr>
                  </w:pPr>
                  <w:r>
                    <w:rPr>
                      <w:szCs w:val="21"/>
                    </w:rPr>
                    <w:t>/</w:t>
                  </w:r>
                </w:p>
              </w:tc>
              <w:tc>
                <w:tcPr>
                  <w:tcW w:w="0" w:type="auto"/>
                  <w:vAlign w:val="center"/>
                </w:tcPr>
                <w:p>
                  <w:pPr>
                    <w:widowControl/>
                    <w:kinsoku w:val="0"/>
                    <w:autoSpaceDE w:val="0"/>
                    <w:autoSpaceDN w:val="0"/>
                    <w:adjustRightInd w:val="0"/>
                    <w:snapToGrid w:val="0"/>
                    <w:jc w:val="center"/>
                    <w:textAlignment w:val="baseline"/>
                    <w:rPr>
                      <w:snapToGrid w:val="0"/>
                      <w:spacing w:val="-7"/>
                      <w:szCs w:val="21"/>
                    </w:rPr>
                  </w:pPr>
                  <w:r>
                    <w:rPr>
                      <w:snapToGrid w:val="0"/>
                      <w:spacing w:val="-7"/>
                      <w:szCs w:val="21"/>
                    </w:rPr>
                    <w:t>固态</w:t>
                  </w:r>
                </w:p>
              </w:tc>
              <w:tc>
                <w:tcPr>
                  <w:tcW w:w="0" w:type="auto"/>
                  <w:vAlign w:val="center"/>
                </w:tcPr>
                <w:p>
                  <w:pPr>
                    <w:widowControl/>
                    <w:kinsoku w:val="0"/>
                    <w:autoSpaceDE w:val="0"/>
                    <w:autoSpaceDN w:val="0"/>
                    <w:adjustRightInd w:val="0"/>
                    <w:snapToGrid w:val="0"/>
                    <w:jc w:val="center"/>
                    <w:textAlignment w:val="baseline"/>
                    <w:rPr>
                      <w:snapToGrid w:val="0"/>
                      <w:spacing w:val="-7"/>
                      <w:szCs w:val="21"/>
                    </w:rPr>
                  </w:pPr>
                  <w:r>
                    <w:rPr>
                      <w:snapToGrid w:val="0"/>
                      <w:spacing w:val="-7"/>
                      <w:szCs w:val="21"/>
                    </w:rPr>
                    <w:t>油类物质</w:t>
                  </w:r>
                </w:p>
              </w:tc>
              <w:tc>
                <w:tcPr>
                  <w:tcW w:w="0" w:type="auto"/>
                  <w:vAlign w:val="center"/>
                </w:tcPr>
                <w:p>
                  <w:pPr>
                    <w:widowControl/>
                    <w:kinsoku w:val="0"/>
                    <w:autoSpaceDE w:val="0"/>
                    <w:autoSpaceDN w:val="0"/>
                    <w:adjustRightInd w:val="0"/>
                    <w:snapToGrid w:val="0"/>
                    <w:jc w:val="center"/>
                    <w:textAlignment w:val="baseline"/>
                    <w:rPr>
                      <w:snapToGrid w:val="0"/>
                      <w:spacing w:val="-1"/>
                      <w:szCs w:val="21"/>
                    </w:rPr>
                  </w:pPr>
                  <w:r>
                    <w:rPr>
                      <w:rFonts w:hint="eastAsia"/>
                      <w:snapToGrid w:val="0"/>
                      <w:spacing w:val="-1"/>
                      <w:szCs w:val="21"/>
                    </w:rPr>
                    <w:t>石油烃</w:t>
                  </w:r>
                </w:p>
              </w:tc>
              <w:tc>
                <w:tcPr>
                  <w:tcW w:w="0" w:type="auto"/>
                  <w:vAlign w:val="center"/>
                </w:tcPr>
                <w:p>
                  <w:pPr>
                    <w:widowControl/>
                    <w:kinsoku w:val="0"/>
                    <w:autoSpaceDE w:val="0"/>
                    <w:autoSpaceDN w:val="0"/>
                    <w:adjustRightInd w:val="0"/>
                    <w:snapToGrid w:val="0"/>
                    <w:jc w:val="center"/>
                    <w:textAlignment w:val="baseline"/>
                    <w:rPr>
                      <w:snapToGrid w:val="0"/>
                      <w:spacing w:val="-8"/>
                      <w:szCs w:val="21"/>
                    </w:rPr>
                  </w:pPr>
                  <w:r>
                    <w:rPr>
                      <w:rFonts w:hint="eastAsia"/>
                      <w:snapToGrid w:val="0"/>
                      <w:spacing w:val="-8"/>
                      <w:szCs w:val="21"/>
                    </w:rPr>
                    <w:t>不定期</w:t>
                  </w:r>
                </w:p>
              </w:tc>
              <w:tc>
                <w:tcPr>
                  <w:tcW w:w="0" w:type="auto"/>
                  <w:vAlign w:val="center"/>
                </w:tcPr>
                <w:p>
                  <w:pPr>
                    <w:widowControl/>
                    <w:kinsoku w:val="0"/>
                    <w:autoSpaceDE w:val="0"/>
                    <w:autoSpaceDN w:val="0"/>
                    <w:adjustRightInd w:val="0"/>
                    <w:snapToGrid w:val="0"/>
                    <w:jc w:val="center"/>
                    <w:textAlignment w:val="baseline"/>
                    <w:rPr>
                      <w:snapToGrid w:val="0"/>
                      <w:spacing w:val="-1"/>
                      <w:szCs w:val="21"/>
                    </w:rPr>
                  </w:pPr>
                  <w:r>
                    <w:rPr>
                      <w:snapToGrid w:val="0"/>
                      <w:spacing w:val="-1"/>
                      <w:szCs w:val="21"/>
                    </w:rPr>
                    <w:t>T/I</w:t>
                  </w:r>
                </w:p>
              </w:tc>
            </w:tr>
            <w:tr>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0" w:type="dxa"/>
                  <w:bottom w:w="0" w:type="dxa"/>
                  <w:right w:w="0" w:type="dxa"/>
                </w:tblCellMar>
              </w:tblPrEx>
              <w:trPr>
                <w:trHeight w:val="20" w:hRule="atLeast"/>
                <w:jc w:val="center"/>
              </w:trPr>
              <w:tc>
                <w:tcPr>
                  <w:tcW w:w="0" w:type="auto"/>
                  <w:vAlign w:val="center"/>
                </w:tcPr>
                <w:p>
                  <w:pPr>
                    <w:widowControl/>
                    <w:kinsoku w:val="0"/>
                    <w:autoSpaceDE w:val="0"/>
                    <w:autoSpaceDN w:val="0"/>
                    <w:adjustRightInd w:val="0"/>
                    <w:snapToGrid w:val="0"/>
                    <w:jc w:val="center"/>
                    <w:textAlignment w:val="baseline"/>
                    <w:rPr>
                      <w:snapToGrid w:val="0"/>
                      <w:color w:val="0000FF"/>
                      <w:szCs w:val="21"/>
                    </w:rPr>
                  </w:pPr>
                  <w:r>
                    <w:rPr>
                      <w:rFonts w:hint="eastAsia"/>
                      <w:snapToGrid w:val="0"/>
                      <w:color w:val="0000FF"/>
                      <w:szCs w:val="21"/>
                    </w:rPr>
                    <w:t>3</w:t>
                  </w:r>
                </w:p>
              </w:tc>
              <w:tc>
                <w:tcPr>
                  <w:tcW w:w="0" w:type="auto"/>
                  <w:vAlign w:val="center"/>
                </w:tcPr>
                <w:p>
                  <w:pPr>
                    <w:widowControl/>
                    <w:kinsoku w:val="0"/>
                    <w:autoSpaceDE w:val="0"/>
                    <w:autoSpaceDN w:val="0"/>
                    <w:adjustRightInd w:val="0"/>
                    <w:snapToGrid w:val="0"/>
                    <w:jc w:val="center"/>
                    <w:textAlignment w:val="baseline"/>
                    <w:rPr>
                      <w:color w:val="0000FF"/>
                      <w:szCs w:val="21"/>
                    </w:rPr>
                  </w:pPr>
                  <w:r>
                    <w:rPr>
                      <w:color w:val="0000FF"/>
                      <w:szCs w:val="21"/>
                    </w:rPr>
                    <w:t>含油棉纱、抹布</w:t>
                  </w:r>
                </w:p>
              </w:tc>
              <w:tc>
                <w:tcPr>
                  <w:tcW w:w="0" w:type="auto"/>
                  <w:vAlign w:val="center"/>
                </w:tcPr>
                <w:p>
                  <w:pPr>
                    <w:widowControl/>
                    <w:kinsoku w:val="0"/>
                    <w:autoSpaceDE w:val="0"/>
                    <w:autoSpaceDN w:val="0"/>
                    <w:adjustRightInd w:val="0"/>
                    <w:snapToGrid w:val="0"/>
                    <w:jc w:val="center"/>
                    <w:textAlignment w:val="baseline"/>
                    <w:rPr>
                      <w:color w:val="0000FF"/>
                      <w:szCs w:val="21"/>
                    </w:rPr>
                  </w:pPr>
                  <w:r>
                    <w:rPr>
                      <w:rFonts w:hint="eastAsia"/>
                      <w:color w:val="0000FF"/>
                      <w:szCs w:val="21"/>
                    </w:rPr>
                    <w:t>/</w:t>
                  </w:r>
                </w:p>
              </w:tc>
              <w:tc>
                <w:tcPr>
                  <w:tcW w:w="0" w:type="auto"/>
                  <w:vAlign w:val="center"/>
                </w:tcPr>
                <w:p>
                  <w:pPr>
                    <w:widowControl/>
                    <w:kinsoku w:val="0"/>
                    <w:autoSpaceDE w:val="0"/>
                    <w:autoSpaceDN w:val="0"/>
                    <w:adjustRightInd w:val="0"/>
                    <w:snapToGrid w:val="0"/>
                    <w:jc w:val="center"/>
                    <w:textAlignment w:val="baseline"/>
                    <w:rPr>
                      <w:color w:val="0000FF"/>
                      <w:szCs w:val="21"/>
                    </w:rPr>
                  </w:pPr>
                  <w:r>
                    <w:rPr>
                      <w:color w:val="0000FF"/>
                      <w:szCs w:val="21"/>
                    </w:rPr>
                    <w:t>/</w:t>
                  </w:r>
                </w:p>
              </w:tc>
              <w:tc>
                <w:tcPr>
                  <w:tcW w:w="0" w:type="auto"/>
                  <w:vAlign w:val="center"/>
                </w:tcPr>
                <w:p>
                  <w:pPr>
                    <w:widowControl/>
                    <w:kinsoku w:val="0"/>
                    <w:autoSpaceDE w:val="0"/>
                    <w:autoSpaceDN w:val="0"/>
                    <w:adjustRightInd w:val="0"/>
                    <w:snapToGrid w:val="0"/>
                    <w:jc w:val="center"/>
                    <w:textAlignment w:val="baseline"/>
                    <w:rPr>
                      <w:color w:val="0000FF"/>
                      <w:szCs w:val="21"/>
                    </w:rPr>
                  </w:pPr>
                  <w:r>
                    <w:rPr>
                      <w:color w:val="0000FF"/>
                      <w:szCs w:val="21"/>
                    </w:rPr>
                    <w:t>0.05</w:t>
                  </w:r>
                </w:p>
              </w:tc>
              <w:tc>
                <w:tcPr>
                  <w:tcW w:w="0" w:type="auto"/>
                  <w:vAlign w:val="center"/>
                </w:tcPr>
                <w:p>
                  <w:pPr>
                    <w:widowControl/>
                    <w:kinsoku w:val="0"/>
                    <w:autoSpaceDE w:val="0"/>
                    <w:autoSpaceDN w:val="0"/>
                    <w:adjustRightInd w:val="0"/>
                    <w:snapToGrid w:val="0"/>
                    <w:jc w:val="center"/>
                    <w:textAlignment w:val="baseline"/>
                    <w:rPr>
                      <w:color w:val="0000FF"/>
                      <w:szCs w:val="21"/>
                    </w:rPr>
                  </w:pPr>
                  <w:r>
                    <w:rPr>
                      <w:color w:val="0000FF"/>
                      <w:szCs w:val="21"/>
                    </w:rPr>
                    <w:t>机械维修</w:t>
                  </w:r>
                </w:p>
              </w:tc>
              <w:tc>
                <w:tcPr>
                  <w:tcW w:w="0" w:type="auto"/>
                  <w:vAlign w:val="center"/>
                </w:tcPr>
                <w:p>
                  <w:pPr>
                    <w:widowControl/>
                    <w:kinsoku w:val="0"/>
                    <w:autoSpaceDE w:val="0"/>
                    <w:autoSpaceDN w:val="0"/>
                    <w:adjustRightInd w:val="0"/>
                    <w:snapToGrid w:val="0"/>
                    <w:jc w:val="center"/>
                    <w:textAlignment w:val="baseline"/>
                    <w:rPr>
                      <w:snapToGrid w:val="0"/>
                      <w:color w:val="0000FF"/>
                      <w:spacing w:val="-7"/>
                      <w:szCs w:val="21"/>
                    </w:rPr>
                  </w:pPr>
                  <w:r>
                    <w:rPr>
                      <w:rFonts w:hint="eastAsia"/>
                      <w:snapToGrid w:val="0"/>
                      <w:color w:val="0000FF"/>
                      <w:spacing w:val="-7"/>
                      <w:szCs w:val="21"/>
                    </w:rPr>
                    <w:t>固态</w:t>
                  </w:r>
                </w:p>
              </w:tc>
              <w:tc>
                <w:tcPr>
                  <w:tcW w:w="0" w:type="auto"/>
                  <w:vAlign w:val="center"/>
                </w:tcPr>
                <w:p>
                  <w:pPr>
                    <w:widowControl/>
                    <w:kinsoku w:val="0"/>
                    <w:autoSpaceDE w:val="0"/>
                    <w:autoSpaceDN w:val="0"/>
                    <w:adjustRightInd w:val="0"/>
                    <w:snapToGrid w:val="0"/>
                    <w:jc w:val="center"/>
                    <w:textAlignment w:val="baseline"/>
                    <w:rPr>
                      <w:snapToGrid w:val="0"/>
                      <w:color w:val="0000FF"/>
                      <w:spacing w:val="-7"/>
                      <w:szCs w:val="21"/>
                    </w:rPr>
                  </w:pPr>
                  <w:r>
                    <w:rPr>
                      <w:snapToGrid w:val="0"/>
                      <w:color w:val="0000FF"/>
                      <w:spacing w:val="-7"/>
                      <w:szCs w:val="21"/>
                    </w:rPr>
                    <w:t>油类物质</w:t>
                  </w:r>
                </w:p>
              </w:tc>
              <w:tc>
                <w:tcPr>
                  <w:tcW w:w="0" w:type="auto"/>
                  <w:vAlign w:val="center"/>
                </w:tcPr>
                <w:p>
                  <w:pPr>
                    <w:widowControl/>
                    <w:kinsoku w:val="0"/>
                    <w:autoSpaceDE w:val="0"/>
                    <w:autoSpaceDN w:val="0"/>
                    <w:adjustRightInd w:val="0"/>
                    <w:snapToGrid w:val="0"/>
                    <w:jc w:val="center"/>
                    <w:textAlignment w:val="baseline"/>
                    <w:rPr>
                      <w:snapToGrid w:val="0"/>
                      <w:color w:val="0000FF"/>
                      <w:spacing w:val="-1"/>
                      <w:szCs w:val="21"/>
                    </w:rPr>
                  </w:pPr>
                  <w:r>
                    <w:rPr>
                      <w:rFonts w:hint="eastAsia"/>
                      <w:snapToGrid w:val="0"/>
                      <w:color w:val="0000FF"/>
                      <w:spacing w:val="-1"/>
                      <w:szCs w:val="21"/>
                    </w:rPr>
                    <w:t>石油烃</w:t>
                  </w:r>
                </w:p>
              </w:tc>
              <w:tc>
                <w:tcPr>
                  <w:tcW w:w="0" w:type="auto"/>
                  <w:vAlign w:val="center"/>
                </w:tcPr>
                <w:p>
                  <w:pPr>
                    <w:widowControl/>
                    <w:kinsoku w:val="0"/>
                    <w:autoSpaceDE w:val="0"/>
                    <w:autoSpaceDN w:val="0"/>
                    <w:adjustRightInd w:val="0"/>
                    <w:snapToGrid w:val="0"/>
                    <w:jc w:val="center"/>
                    <w:textAlignment w:val="baseline"/>
                    <w:rPr>
                      <w:snapToGrid w:val="0"/>
                      <w:color w:val="0000FF"/>
                      <w:spacing w:val="-8"/>
                      <w:szCs w:val="21"/>
                    </w:rPr>
                  </w:pPr>
                  <w:r>
                    <w:rPr>
                      <w:rFonts w:hint="eastAsia"/>
                      <w:snapToGrid w:val="0"/>
                      <w:color w:val="0000FF"/>
                      <w:spacing w:val="-8"/>
                      <w:szCs w:val="21"/>
                    </w:rPr>
                    <w:t>不定期</w:t>
                  </w:r>
                </w:p>
              </w:tc>
              <w:tc>
                <w:tcPr>
                  <w:tcW w:w="0" w:type="auto"/>
                  <w:vAlign w:val="center"/>
                </w:tcPr>
                <w:p>
                  <w:pPr>
                    <w:widowControl/>
                    <w:kinsoku w:val="0"/>
                    <w:autoSpaceDE w:val="0"/>
                    <w:autoSpaceDN w:val="0"/>
                    <w:adjustRightInd w:val="0"/>
                    <w:snapToGrid w:val="0"/>
                    <w:jc w:val="center"/>
                    <w:textAlignment w:val="baseline"/>
                    <w:rPr>
                      <w:snapToGrid w:val="0"/>
                      <w:color w:val="0000FF"/>
                      <w:spacing w:val="-1"/>
                      <w:szCs w:val="21"/>
                    </w:rPr>
                  </w:pPr>
                  <w:r>
                    <w:rPr>
                      <w:snapToGrid w:val="0"/>
                      <w:color w:val="0000FF"/>
                      <w:spacing w:val="-1"/>
                      <w:szCs w:val="21"/>
                    </w:rPr>
                    <w:t>T/I</w:t>
                  </w:r>
                </w:p>
              </w:tc>
            </w:tr>
            <w:bookmarkEnd w:id="57"/>
          </w:tbl>
          <w:p>
            <w:pPr>
              <w:pStyle w:val="41"/>
              <w:spacing w:line="360" w:lineRule="auto"/>
              <w:rPr>
                <w:rFonts w:ascii="Times New Roman" w:hAnsi="Times New Roman" w:cs="Times New Roman"/>
                <w:b/>
                <w:bCs/>
                <w:color w:val="auto"/>
              </w:rPr>
            </w:pPr>
            <w:r>
              <w:rPr>
                <w:rFonts w:ascii="Times New Roman" w:hAnsi="Times New Roman" w:cs="Times New Roman"/>
                <w:b/>
                <w:bCs/>
                <w:color w:val="auto"/>
              </w:rPr>
              <w:t>2</w:t>
            </w:r>
            <w:r>
              <w:rPr>
                <w:rFonts w:hint="eastAsia" w:ascii="Times New Roman" w:hAnsi="Times New Roman" w:cs="Times New Roman"/>
                <w:b/>
                <w:bCs/>
                <w:color w:val="auto"/>
              </w:rPr>
              <w:t>、固体废物污染防治措施及处置去向</w:t>
            </w:r>
          </w:p>
          <w:p>
            <w:pPr>
              <w:spacing w:line="360" w:lineRule="auto"/>
              <w:ind w:firstLine="481" w:firstLineChars="200"/>
              <w:rPr>
                <w:b/>
                <w:bCs/>
                <w:sz w:val="24"/>
              </w:rPr>
            </w:pPr>
            <w:r>
              <w:rPr>
                <w:rFonts w:hint="eastAsia"/>
                <w:b/>
                <w:bCs/>
                <w:sz w:val="24"/>
              </w:rPr>
              <w:t>（1）生活垃圾处置措施及去向</w:t>
            </w:r>
          </w:p>
          <w:p>
            <w:pPr>
              <w:spacing w:line="360" w:lineRule="auto"/>
              <w:ind w:firstLine="480" w:firstLineChars="200"/>
              <w:rPr>
                <w:sz w:val="24"/>
              </w:rPr>
            </w:pPr>
            <w:r>
              <w:rPr>
                <w:rFonts w:hint="eastAsia"/>
                <w:sz w:val="24"/>
              </w:rPr>
              <w:t>项目运行期产生的生活垃圾成分比较复杂，主要成份为纸屑、有机物、废旧金属、塑料、玻璃、含油棉纱、抹布以及隔离油脂等，容易腐烂而产生异味、恶臭，也是蚊蝇孳生、病菌繁殖、鼠类肆虐的场所。若对生活垃圾疏于管理不及时清运，或任意丢弃堆存，首先对项目区内景观会造成严重影响，其次在风、雨水等媒介作用下容易造成空气环境、地表水环境的污染。</w:t>
            </w:r>
          </w:p>
          <w:p>
            <w:pPr>
              <w:spacing w:line="360" w:lineRule="auto"/>
              <w:ind w:firstLine="480" w:firstLineChars="200"/>
              <w:rPr>
                <w:sz w:val="24"/>
              </w:rPr>
            </w:pPr>
            <w:r>
              <w:rPr>
                <w:rFonts w:hint="eastAsia"/>
                <w:sz w:val="24"/>
              </w:rPr>
              <w:t>为避免项目运行期产生的生活垃圾等对区域环境造成影响，环评要求项目区设置生活垃圾桶，运营期产生的生活垃圾经生活垃圾桶收集后定期清运至区域指定生活垃圾处置点集中处置，禁止私自焚烧、倾倒。</w:t>
            </w:r>
          </w:p>
          <w:p>
            <w:pPr>
              <w:spacing w:line="360" w:lineRule="auto"/>
              <w:ind w:firstLine="481" w:firstLineChars="200"/>
              <w:rPr>
                <w:b/>
                <w:bCs/>
                <w:sz w:val="24"/>
              </w:rPr>
            </w:pPr>
            <w:r>
              <w:rPr>
                <w:rFonts w:hint="eastAsia"/>
                <w:b/>
                <w:bCs/>
                <w:sz w:val="24"/>
              </w:rPr>
              <w:t>（</w:t>
            </w:r>
            <w:r>
              <w:rPr>
                <w:b/>
                <w:bCs/>
                <w:sz w:val="24"/>
              </w:rPr>
              <w:t>2</w:t>
            </w:r>
            <w:r>
              <w:rPr>
                <w:rFonts w:hint="eastAsia"/>
                <w:b/>
                <w:bCs/>
                <w:sz w:val="24"/>
              </w:rPr>
              <w:t>）一般工业固体废物处置措施及去向</w:t>
            </w:r>
          </w:p>
          <w:p>
            <w:pPr>
              <w:spacing w:line="360" w:lineRule="auto"/>
              <w:ind w:firstLine="480" w:firstLineChars="200"/>
              <w:rPr>
                <w:sz w:val="24"/>
              </w:rPr>
            </w:pPr>
            <w:r>
              <w:rPr>
                <w:rFonts w:hint="eastAsia"/>
                <w:sz w:val="24"/>
              </w:rPr>
              <w:t>项目运营期拟采取的固体废物污染防治措施及处置去向如下：</w:t>
            </w:r>
          </w:p>
          <w:p>
            <w:pPr>
              <w:jc w:val="center"/>
              <w:rPr>
                <w:b/>
                <w:sz w:val="24"/>
              </w:rPr>
            </w:pPr>
            <w:r>
              <w:rPr>
                <w:rFonts w:hint="eastAsia"/>
                <w:b/>
                <w:sz w:val="24"/>
              </w:rPr>
              <w:t>表</w:t>
            </w:r>
            <w:r>
              <w:rPr>
                <w:b/>
                <w:sz w:val="24"/>
              </w:rPr>
              <w:t xml:space="preserve">4.9-3  </w:t>
            </w:r>
            <w:r>
              <w:rPr>
                <w:rFonts w:hint="eastAsia"/>
                <w:b/>
                <w:sz w:val="24"/>
              </w:rPr>
              <w:t>一般工业固废处置措施及去向</w:t>
            </w:r>
          </w:p>
          <w:tbl>
            <w:tblPr>
              <w:tblStyle w:val="3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32"/>
              <w:gridCol w:w="6347"/>
              <w:gridCol w:w="7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786" w:type="pct"/>
                  <w:vAlign w:val="center"/>
                </w:tcPr>
                <w:p>
                  <w:pPr>
                    <w:jc w:val="center"/>
                    <w:rPr>
                      <w:b/>
                      <w:szCs w:val="21"/>
                    </w:rPr>
                  </w:pPr>
                  <w:r>
                    <w:rPr>
                      <w:rFonts w:hint="eastAsia"/>
                      <w:b/>
                      <w:szCs w:val="21"/>
                    </w:rPr>
                    <w:t>固废名称</w:t>
                  </w:r>
                </w:p>
              </w:tc>
              <w:tc>
                <w:tcPr>
                  <w:tcW w:w="3745" w:type="pct"/>
                  <w:vAlign w:val="center"/>
                </w:tcPr>
                <w:p>
                  <w:pPr>
                    <w:jc w:val="center"/>
                    <w:rPr>
                      <w:b/>
                      <w:szCs w:val="21"/>
                    </w:rPr>
                  </w:pPr>
                  <w:r>
                    <w:rPr>
                      <w:rFonts w:hint="eastAsia"/>
                      <w:b/>
                      <w:szCs w:val="21"/>
                    </w:rPr>
                    <w:t>处置措施</w:t>
                  </w:r>
                </w:p>
              </w:tc>
              <w:tc>
                <w:tcPr>
                  <w:tcW w:w="469" w:type="pct"/>
                  <w:vAlign w:val="center"/>
                </w:tcPr>
                <w:p>
                  <w:pPr>
                    <w:jc w:val="center"/>
                    <w:rPr>
                      <w:b/>
                      <w:szCs w:val="21"/>
                    </w:rPr>
                  </w:pPr>
                  <w:r>
                    <w:rPr>
                      <w:rFonts w:hint="eastAsia"/>
                      <w:b/>
                      <w:szCs w:val="21"/>
                    </w:rPr>
                    <w:t>处置去向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786" w:type="pct"/>
                  <w:vAlign w:val="center"/>
                </w:tcPr>
                <w:p>
                  <w:pPr>
                    <w:jc w:val="center"/>
                    <w:rPr>
                      <w:szCs w:val="21"/>
                    </w:rPr>
                  </w:pPr>
                  <w:r>
                    <w:rPr>
                      <w:rFonts w:hint="eastAsia"/>
                      <w:szCs w:val="21"/>
                    </w:rPr>
                    <w:t>沉淀池污泥</w:t>
                  </w:r>
                </w:p>
              </w:tc>
              <w:tc>
                <w:tcPr>
                  <w:tcW w:w="3745" w:type="pct"/>
                  <w:vAlign w:val="center"/>
                </w:tcPr>
                <w:p>
                  <w:pPr>
                    <w:jc w:val="center"/>
                    <w:rPr>
                      <w:szCs w:val="21"/>
                    </w:rPr>
                  </w:pPr>
                  <w:r>
                    <w:rPr>
                      <w:rFonts w:hint="eastAsia"/>
                      <w:szCs w:val="21"/>
                    </w:rPr>
                    <w:t>由建设单位定期清掏后于污泥干化场（2</w:t>
                  </w:r>
                  <w:r>
                    <w:rPr>
                      <w:szCs w:val="21"/>
                    </w:rPr>
                    <w:t>0</w:t>
                  </w:r>
                  <w:r>
                    <w:rPr>
                      <w:rFonts w:hint="eastAsia"/>
                      <w:szCs w:val="21"/>
                    </w:rPr>
                    <w:t>㎡）内暂存，自然风干至含水率5</w:t>
                  </w:r>
                  <w:r>
                    <w:rPr>
                      <w:szCs w:val="21"/>
                    </w:rPr>
                    <w:t>0%</w:t>
                  </w:r>
                  <w:r>
                    <w:rPr>
                      <w:rFonts w:hint="eastAsia"/>
                      <w:szCs w:val="21"/>
                    </w:rPr>
                    <w:t>左右后外售周边砖瓦制造企业作为生产原料。</w:t>
                  </w:r>
                </w:p>
              </w:tc>
              <w:tc>
                <w:tcPr>
                  <w:tcW w:w="469" w:type="pct"/>
                  <w:vAlign w:val="center"/>
                </w:tcPr>
                <w:p>
                  <w:pPr>
                    <w:jc w:val="center"/>
                    <w:rPr>
                      <w:szCs w:val="21"/>
                    </w:rPr>
                  </w:pPr>
                  <w:r>
                    <w:rPr>
                      <w:rFonts w:hint="eastAsia"/>
                      <w:szCs w:val="21"/>
                    </w:rPr>
                    <w:t>外售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786" w:type="pct"/>
                  <w:vAlign w:val="center"/>
                </w:tcPr>
                <w:p>
                  <w:pPr>
                    <w:jc w:val="center"/>
                    <w:rPr>
                      <w:szCs w:val="21"/>
                    </w:rPr>
                  </w:pPr>
                  <w:r>
                    <w:rPr>
                      <w:rFonts w:hint="eastAsia"/>
                      <w:szCs w:val="21"/>
                    </w:rPr>
                    <w:t>化粪池污泥</w:t>
                  </w:r>
                </w:p>
              </w:tc>
              <w:tc>
                <w:tcPr>
                  <w:tcW w:w="3745" w:type="pct"/>
                  <w:vAlign w:val="center"/>
                </w:tcPr>
                <w:p>
                  <w:pPr>
                    <w:jc w:val="center"/>
                    <w:rPr>
                      <w:szCs w:val="21"/>
                    </w:rPr>
                  </w:pPr>
                  <w:r>
                    <w:rPr>
                      <w:rFonts w:hint="eastAsia"/>
                      <w:szCs w:val="21"/>
                    </w:rPr>
                    <w:t>由建设单位定期清掏后作为农肥施用于厂区内绿化。</w:t>
                  </w:r>
                </w:p>
              </w:tc>
              <w:tc>
                <w:tcPr>
                  <w:tcW w:w="469" w:type="pct"/>
                  <w:vAlign w:val="center"/>
                </w:tcPr>
                <w:p>
                  <w:pPr>
                    <w:jc w:val="center"/>
                    <w:rPr>
                      <w:szCs w:val="21"/>
                    </w:rPr>
                  </w:pPr>
                  <w:r>
                    <w:rPr>
                      <w:rFonts w:hint="eastAsia"/>
                      <w:szCs w:val="21"/>
                    </w:rPr>
                    <w:t>回用</w:t>
                  </w:r>
                </w:p>
              </w:tc>
            </w:tr>
          </w:tbl>
          <w:p>
            <w:pPr>
              <w:spacing w:line="360" w:lineRule="auto"/>
              <w:ind w:firstLine="481" w:firstLineChars="200"/>
              <w:rPr>
                <w:b/>
                <w:bCs/>
                <w:sz w:val="24"/>
              </w:rPr>
            </w:pPr>
            <w:r>
              <w:rPr>
                <w:b/>
                <w:bCs/>
                <w:sz w:val="24"/>
              </w:rPr>
              <w:t>（3）危险废物处置措施</w:t>
            </w:r>
            <w:r>
              <w:rPr>
                <w:rFonts w:hint="eastAsia"/>
                <w:b/>
                <w:bCs/>
                <w:sz w:val="24"/>
              </w:rPr>
              <w:t>及去向</w:t>
            </w:r>
          </w:p>
          <w:p>
            <w:pPr>
              <w:spacing w:line="360" w:lineRule="auto"/>
              <w:ind w:firstLine="480" w:firstLineChars="200"/>
              <w:rPr>
                <w:sz w:val="24"/>
              </w:rPr>
            </w:pPr>
            <w:r>
              <w:rPr>
                <w:rFonts w:hint="eastAsia"/>
                <w:sz w:val="24"/>
              </w:rPr>
              <w:t>本项目设置5㎡危废暂存间1座，地面进行混凝土硬化处理，表面涂刷环氧树脂进行防渗。运行期产生的危险废物经专用容器收集后于危废暂存间内暂存，并委托相关资质单位定期进行清运处置。</w:t>
            </w:r>
          </w:p>
          <w:p>
            <w:pPr>
              <w:autoSpaceDE w:val="0"/>
              <w:adjustRightInd w:val="0"/>
              <w:snapToGrid w:val="0"/>
              <w:spacing w:line="360" w:lineRule="auto"/>
              <w:rPr>
                <w:b/>
                <w:sz w:val="24"/>
              </w:rPr>
            </w:pPr>
            <w:bookmarkStart w:id="59" w:name="_Hlk139896237"/>
            <w:r>
              <w:rPr>
                <w:b/>
                <w:sz w:val="24"/>
              </w:rPr>
              <w:t>3</w:t>
            </w:r>
            <w:r>
              <w:rPr>
                <w:rFonts w:hint="eastAsia"/>
                <w:b/>
                <w:sz w:val="24"/>
              </w:rPr>
              <w:t>、</w:t>
            </w:r>
            <w:r>
              <w:rPr>
                <w:b/>
                <w:sz w:val="24"/>
              </w:rPr>
              <w:t>暂存间规范化设置</w:t>
            </w:r>
          </w:p>
          <w:p>
            <w:pPr>
              <w:spacing w:line="360" w:lineRule="auto"/>
              <w:rPr>
                <w:b/>
                <w:sz w:val="24"/>
              </w:rPr>
            </w:pPr>
            <w:r>
              <w:rPr>
                <w:b/>
                <w:sz w:val="24"/>
              </w:rPr>
              <w:t>（</w:t>
            </w:r>
            <w:r>
              <w:rPr>
                <w:rFonts w:hint="eastAsia"/>
                <w:b/>
                <w:sz w:val="24"/>
              </w:rPr>
              <w:t>1）</w:t>
            </w:r>
            <w:r>
              <w:rPr>
                <w:b/>
                <w:sz w:val="24"/>
              </w:rPr>
              <w:t>废暂存间建设要求</w:t>
            </w:r>
          </w:p>
          <w:p>
            <w:pPr>
              <w:spacing w:line="360" w:lineRule="auto"/>
              <w:ind w:firstLine="480" w:firstLineChars="200"/>
              <w:rPr>
                <w:sz w:val="24"/>
              </w:rPr>
            </w:pPr>
            <w:bookmarkStart w:id="60" w:name="_Hlk139895898"/>
            <w:r>
              <w:rPr>
                <w:sz w:val="24"/>
              </w:rPr>
              <w:t>根据《危险废物贮存污染控制标准》（GB 18597-2023），本项目</w:t>
            </w:r>
            <w:r>
              <w:rPr>
                <w:rFonts w:hint="eastAsia"/>
                <w:sz w:val="24"/>
              </w:rPr>
              <w:t>扩建整改后</w:t>
            </w:r>
            <w:r>
              <w:rPr>
                <w:sz w:val="24"/>
              </w:rPr>
              <w:t>危废暂存间应满足以下要求：</w:t>
            </w:r>
          </w:p>
          <w:p>
            <w:pPr>
              <w:spacing w:line="360" w:lineRule="auto"/>
              <w:ind w:firstLine="480" w:firstLineChars="200"/>
              <w:rPr>
                <w:sz w:val="24"/>
              </w:rPr>
            </w:pPr>
            <w:r>
              <w:rPr>
                <w:rFonts w:hint="eastAsia" w:ascii="宋体" w:hAnsi="宋体"/>
                <w:sz w:val="24"/>
              </w:rPr>
              <w:t>①</w:t>
            </w:r>
            <w:r>
              <w:rPr>
                <w:sz w:val="24"/>
              </w:rPr>
              <w:t>贮存设施应根据危险废物的形态、物理化学性质、包装形式和污染物迁移途径，采取必要的防风、防晒、防雨、防漏、防渗、防腐以及其他环境污染防治措施，不应露天堆放危险废物。</w:t>
            </w:r>
          </w:p>
          <w:p>
            <w:pPr>
              <w:spacing w:line="360" w:lineRule="auto"/>
              <w:ind w:firstLine="480" w:firstLineChars="200"/>
              <w:rPr>
                <w:sz w:val="24"/>
              </w:rPr>
            </w:pPr>
            <w:r>
              <w:rPr>
                <w:rFonts w:hint="eastAsia" w:ascii="宋体" w:hAnsi="宋体"/>
                <w:sz w:val="24"/>
              </w:rPr>
              <w:t>②</w:t>
            </w:r>
            <w:r>
              <w:rPr>
                <w:sz w:val="24"/>
              </w:rPr>
              <w:t>贮存设施应根据危险废物的类别、数量、形态、物理化学性质和污染防治等要求设置必要的贮存分区,避免不相容的危险废物接触、混合。</w:t>
            </w:r>
          </w:p>
          <w:p>
            <w:pPr>
              <w:spacing w:line="360" w:lineRule="auto"/>
              <w:ind w:firstLine="480" w:firstLineChars="200"/>
              <w:rPr>
                <w:sz w:val="24"/>
              </w:rPr>
            </w:pPr>
            <w:r>
              <w:rPr>
                <w:rFonts w:hint="eastAsia" w:ascii="宋体" w:hAnsi="宋体"/>
                <w:sz w:val="24"/>
              </w:rPr>
              <w:t>③</w:t>
            </w:r>
            <w:r>
              <w:rPr>
                <w:sz w:val="24"/>
              </w:rPr>
              <w:t>贮存设施或贮存分区内地面、墙面裙脚、堵截泄漏的围堰、接触危险废物的隔板和墙体等应采用坚固的材料建造，表面无裂缝。</w:t>
            </w:r>
          </w:p>
          <w:p>
            <w:pPr>
              <w:spacing w:line="360" w:lineRule="auto"/>
              <w:ind w:firstLine="480" w:firstLineChars="200"/>
              <w:rPr>
                <w:sz w:val="24"/>
              </w:rPr>
            </w:pPr>
            <w:r>
              <w:rPr>
                <w:rFonts w:hint="eastAsia" w:ascii="宋体" w:hAnsi="宋体"/>
                <w:sz w:val="24"/>
              </w:rPr>
              <w:t>④</w:t>
            </w:r>
            <w:r>
              <w:rPr>
                <w:sz w:val="24"/>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sz w:val="24"/>
                <w:vertAlign w:val="superscript"/>
              </w:rPr>
              <w:t>-7</w:t>
            </w:r>
            <w:r>
              <w:rPr>
                <w:sz w:val="24"/>
              </w:rPr>
              <w:t>cm/s)，或至少2mm厚高密度聚乙烯膜等人工防渗材料（渗透系数不大于10</w:t>
            </w:r>
            <w:r>
              <w:rPr>
                <w:sz w:val="24"/>
                <w:vertAlign w:val="superscript"/>
              </w:rPr>
              <w:t>-10</w:t>
            </w:r>
            <w:r>
              <w:rPr>
                <w:sz w:val="24"/>
              </w:rPr>
              <w:t>cm/s)，或其他防渗性能等效的材料。</w:t>
            </w:r>
          </w:p>
          <w:p>
            <w:pPr>
              <w:spacing w:line="360" w:lineRule="auto"/>
              <w:ind w:firstLine="480" w:firstLineChars="200"/>
              <w:rPr>
                <w:sz w:val="24"/>
              </w:rPr>
            </w:pPr>
            <w:r>
              <w:rPr>
                <w:rFonts w:hint="eastAsia" w:ascii="宋体" w:hAnsi="宋体"/>
                <w:sz w:val="24"/>
              </w:rPr>
              <w:t>⑤</w:t>
            </w:r>
            <w:r>
              <w:rPr>
                <w:sz w:val="24"/>
              </w:rPr>
              <w:t>同一贮存设施宜采用相同的防渗、防腐工艺（包括防渗、防腐结构或材料），防渗、防腐材料应覆盖所有可能与废物及其渗滤液、渗漏液等接触的构筑物表面；采用不同防渗、防腐工艺应分别建设贮存分区。</w:t>
            </w:r>
          </w:p>
          <w:p>
            <w:pPr>
              <w:spacing w:line="360" w:lineRule="auto"/>
              <w:ind w:firstLine="480" w:firstLineChars="200"/>
              <w:rPr>
                <w:sz w:val="24"/>
              </w:rPr>
            </w:pPr>
            <w:r>
              <w:rPr>
                <w:rFonts w:hint="eastAsia" w:ascii="宋体" w:hAnsi="宋体"/>
                <w:sz w:val="24"/>
              </w:rPr>
              <w:t>⑥</w:t>
            </w:r>
            <w:r>
              <w:rPr>
                <w:sz w:val="24"/>
              </w:rPr>
              <w:t>贮存场应设置径流疏导系统，保证能防止当地重现期不小于25年的暴雨流入贮存区域，并采取措施防止雨水冲淋危险废物，避免增加渗滤液量。</w:t>
            </w:r>
          </w:p>
          <w:p>
            <w:pPr>
              <w:spacing w:line="360" w:lineRule="auto"/>
              <w:ind w:firstLine="480" w:firstLineChars="200"/>
              <w:rPr>
                <w:sz w:val="24"/>
              </w:rPr>
            </w:pPr>
            <w:r>
              <w:rPr>
                <w:rFonts w:hint="eastAsia" w:ascii="宋体" w:hAnsi="宋体"/>
                <w:sz w:val="24"/>
              </w:rPr>
              <w:t>⑦</w:t>
            </w:r>
            <w:r>
              <w:rPr>
                <w:sz w:val="24"/>
              </w:rPr>
              <w:t>贮存场可整体或分区设计液体导流和收集设施，收集设施容积应保证在最不利条件下可以容纳对应贮存区域产生的渗滤液、废水等液态物质。</w:t>
            </w:r>
          </w:p>
          <w:p>
            <w:pPr>
              <w:spacing w:line="360" w:lineRule="auto"/>
              <w:ind w:firstLine="480" w:firstLineChars="200"/>
              <w:rPr>
                <w:sz w:val="24"/>
              </w:rPr>
            </w:pPr>
            <w:r>
              <w:rPr>
                <w:rFonts w:hint="eastAsia" w:ascii="宋体" w:hAnsi="宋体"/>
                <w:sz w:val="24"/>
              </w:rPr>
              <w:t>⑧</w:t>
            </w:r>
            <w:r>
              <w:rPr>
                <w:sz w:val="24"/>
              </w:rPr>
              <w:t>贮存场应采取防止危险废物扬散、流失的措施。</w:t>
            </w:r>
          </w:p>
          <w:bookmarkEnd w:id="60"/>
          <w:p>
            <w:pPr>
              <w:spacing w:line="360" w:lineRule="auto"/>
              <w:rPr>
                <w:b/>
                <w:sz w:val="24"/>
              </w:rPr>
            </w:pPr>
            <w:r>
              <w:rPr>
                <w:b/>
                <w:sz w:val="24"/>
              </w:rPr>
              <w:t>（</w:t>
            </w:r>
            <w:r>
              <w:rPr>
                <w:rFonts w:hint="eastAsia"/>
                <w:b/>
                <w:sz w:val="24"/>
              </w:rPr>
              <w:t>2</w:t>
            </w:r>
            <w:r>
              <w:rPr>
                <w:b/>
                <w:sz w:val="24"/>
              </w:rPr>
              <w:t>暂存间标识标牌设置要求</w:t>
            </w:r>
          </w:p>
          <w:p>
            <w:pPr>
              <w:spacing w:line="360" w:lineRule="auto"/>
              <w:ind w:firstLine="480" w:firstLineChars="200"/>
              <w:rPr>
                <w:sz w:val="24"/>
              </w:rPr>
            </w:pPr>
            <w:r>
              <w:rPr>
                <w:sz w:val="24"/>
              </w:rPr>
              <w:t>根据《危险废物识别标志设置技术规范》（HJ 1276-2022），危废暂存间标识标牌设置应满足以下要求：</w:t>
            </w:r>
          </w:p>
          <w:p>
            <w:pPr>
              <w:spacing w:line="360" w:lineRule="auto"/>
              <w:ind w:firstLine="481" w:firstLineChars="200"/>
              <w:rPr>
                <w:b/>
                <w:sz w:val="24"/>
              </w:rPr>
            </w:pPr>
            <w:r>
              <w:rPr>
                <w:rFonts w:hint="eastAsia" w:ascii="宋体" w:hAnsi="宋体"/>
                <w:b/>
                <w:sz w:val="24"/>
              </w:rPr>
              <w:t>①</w:t>
            </w:r>
            <w:r>
              <w:rPr>
                <w:b/>
                <w:sz w:val="24"/>
              </w:rPr>
              <w:t>危险废物标签设置要求</w:t>
            </w:r>
          </w:p>
          <w:p>
            <w:pPr>
              <w:spacing w:line="360" w:lineRule="auto"/>
              <w:ind w:firstLine="480" w:firstLineChars="200"/>
              <w:rPr>
                <w:sz w:val="24"/>
              </w:rPr>
            </w:pPr>
            <w:r>
              <w:rPr>
                <w:sz w:val="24"/>
              </w:rPr>
              <w:t>A、危险废物标签应以醒目的字样标注“危险废物”；</w:t>
            </w:r>
          </w:p>
          <w:p>
            <w:pPr>
              <w:spacing w:line="360" w:lineRule="auto"/>
              <w:ind w:firstLine="480" w:firstLineChars="200"/>
              <w:rPr>
                <w:sz w:val="24"/>
              </w:rPr>
            </w:pPr>
            <w:r>
              <w:rPr>
                <w:sz w:val="24"/>
              </w:rPr>
              <w:t>B、危险废物标签应包含废物名称、废物类别、废物代码、废物形态、危险特性、主要成分、有害成分、注意事项、产生/收集单位名称、联系人、联系方式、产生日期、废物重量和备注。</w:t>
            </w:r>
          </w:p>
          <w:p>
            <w:pPr>
              <w:spacing w:line="360" w:lineRule="auto"/>
              <w:ind w:firstLine="480" w:firstLineChars="200"/>
              <w:rPr>
                <w:sz w:val="24"/>
              </w:rPr>
            </w:pPr>
            <w:r>
              <w:rPr>
                <w:sz w:val="24"/>
              </w:rPr>
              <w:t>C、危险废物标签宜设置危险废物数字识别码和二维码。</w:t>
            </w:r>
          </w:p>
          <w:p>
            <w:pPr>
              <w:spacing w:line="360" w:lineRule="auto"/>
              <w:ind w:firstLine="480" w:firstLineChars="200"/>
              <w:rPr>
                <w:sz w:val="24"/>
              </w:rPr>
            </w:pPr>
            <w:r>
              <w:rPr>
                <w:sz w:val="24"/>
              </w:rPr>
              <w:t>D、危险废物标签的设置位置应明显可见且易读，不应被容器、包装物自身的任何部分或其他标签遮挡。危险废物标签在各种包装上的粘贴位置分别为:</w:t>
            </w:r>
          </w:p>
          <w:p>
            <w:pPr>
              <w:spacing w:line="360" w:lineRule="auto"/>
              <w:ind w:firstLine="480" w:firstLineChars="200"/>
              <w:rPr>
                <w:sz w:val="24"/>
              </w:rPr>
            </w:pPr>
            <w:r>
              <w:rPr>
                <w:sz w:val="24"/>
              </w:rPr>
              <w:t>a、箱类包装：位于包装端面或侧面;</w:t>
            </w:r>
          </w:p>
          <w:p>
            <w:pPr>
              <w:spacing w:line="360" w:lineRule="auto"/>
              <w:ind w:firstLine="480" w:firstLineChars="200"/>
              <w:rPr>
                <w:sz w:val="24"/>
              </w:rPr>
            </w:pPr>
            <w:r>
              <w:rPr>
                <w:sz w:val="24"/>
              </w:rPr>
              <w:t>b、袋类包装：位于包装明显处；</w:t>
            </w:r>
          </w:p>
          <w:p>
            <w:pPr>
              <w:spacing w:line="360" w:lineRule="auto"/>
              <w:ind w:firstLine="480" w:firstLineChars="200"/>
              <w:rPr>
                <w:sz w:val="24"/>
              </w:rPr>
            </w:pPr>
            <w:r>
              <w:rPr>
                <w:sz w:val="24"/>
              </w:rPr>
              <w:t>c、桶类包装：位于桶身或桶盖；</w:t>
            </w:r>
          </w:p>
          <w:p>
            <w:pPr>
              <w:spacing w:line="360" w:lineRule="auto"/>
              <w:ind w:firstLine="480" w:firstLineChars="200"/>
              <w:rPr>
                <w:sz w:val="24"/>
              </w:rPr>
            </w:pPr>
            <w:r>
              <w:rPr>
                <w:sz w:val="24"/>
              </w:rPr>
              <w:t>d、其他包装：位于明显处。</w:t>
            </w:r>
          </w:p>
          <w:p>
            <w:pPr>
              <w:spacing w:line="360" w:lineRule="auto"/>
              <w:ind w:firstLine="480" w:firstLineChars="200"/>
              <w:rPr>
                <w:sz w:val="24"/>
              </w:rPr>
            </w:pPr>
            <w:r>
              <w:rPr>
                <w:sz w:val="24"/>
              </w:rPr>
              <w:t>E、对于盛装同一类危险废物的组合包装容器，应在组合包装容器的外表面设置危险废物标签。</w:t>
            </w:r>
          </w:p>
          <w:p>
            <w:pPr>
              <w:spacing w:line="360" w:lineRule="auto"/>
              <w:ind w:firstLine="480" w:firstLineChars="200"/>
              <w:rPr>
                <w:sz w:val="24"/>
              </w:rPr>
            </w:pPr>
            <w:r>
              <w:rPr>
                <w:sz w:val="24"/>
              </w:rPr>
              <w:t>F、容积超过450L的容器或包装物，应在相对的两面都设置危险废物标签。</w:t>
            </w:r>
          </w:p>
          <w:p>
            <w:pPr>
              <w:spacing w:line="360" w:lineRule="auto"/>
              <w:ind w:firstLine="480" w:firstLineChars="200"/>
              <w:rPr>
                <w:sz w:val="24"/>
              </w:rPr>
            </w:pPr>
            <w:r>
              <w:rPr>
                <w:sz w:val="24"/>
              </w:rPr>
              <w:t>G、危险废物标签的固定可采用印刷、粘贴、栓挂、钉附等方式，标签的固定应保证在贮存、转移期间不易脱落和损坏。</w:t>
            </w:r>
          </w:p>
          <w:p>
            <w:pPr>
              <w:spacing w:line="360" w:lineRule="auto"/>
              <w:ind w:firstLine="480" w:firstLineChars="200"/>
              <w:rPr>
                <w:sz w:val="24"/>
              </w:rPr>
            </w:pPr>
            <w:r>
              <w:rPr>
                <w:sz w:val="24"/>
              </w:rPr>
              <w:t>H、当危险废物容器或包装物还需同时设置危险货物运输相关标志时，危险废物标签可与其分开设置在不同的面上，也可设在相邻的位置。</w:t>
            </w:r>
          </w:p>
          <w:p>
            <w:pPr>
              <w:spacing w:line="360" w:lineRule="auto"/>
              <w:ind w:firstLine="480" w:firstLineChars="200"/>
              <w:rPr>
                <w:sz w:val="24"/>
              </w:rPr>
            </w:pPr>
            <w:r>
              <w:rPr>
                <w:sz w:val="24"/>
              </w:rPr>
              <w:t>I、在贮存池的或贮存设施内堆存的无包装或无容器的危险废物，宜在其附近参照危险废物标签的格式和内容设置柱式标志牌。</w:t>
            </w:r>
          </w:p>
          <w:p>
            <w:pPr>
              <w:jc w:val="center"/>
              <w:rPr>
                <w:b/>
                <w:sz w:val="24"/>
              </w:rPr>
            </w:pPr>
            <w:r>
              <w:rPr>
                <w:b/>
                <w:sz w:val="24"/>
              </w:rPr>
              <w:t>表4.9-4物标签示意图及尺寸要求一览表</w:t>
            </w:r>
          </w:p>
          <w:tbl>
            <w:tblPr>
              <w:tblStyle w:val="3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82"/>
              <w:gridCol w:w="1604"/>
              <w:gridCol w:w="1623"/>
              <w:gridCol w:w="1363"/>
              <w:gridCol w:w="29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2" w:hRule="atLeast"/>
                <w:jc w:val="center"/>
              </w:trPr>
              <w:tc>
                <w:tcPr>
                  <w:tcW w:w="782" w:type="dxa"/>
                  <w:vAlign w:val="center"/>
                </w:tcPr>
                <w:p>
                  <w:pPr>
                    <w:jc w:val="center"/>
                    <w:rPr>
                      <w:b/>
                      <w:szCs w:val="21"/>
                    </w:rPr>
                  </w:pPr>
                  <w:r>
                    <w:rPr>
                      <w:b/>
                      <w:szCs w:val="21"/>
                    </w:rPr>
                    <w:t>序号</w:t>
                  </w:r>
                </w:p>
              </w:tc>
              <w:tc>
                <w:tcPr>
                  <w:tcW w:w="1604" w:type="dxa"/>
                  <w:vAlign w:val="center"/>
                </w:tcPr>
                <w:p>
                  <w:pPr>
                    <w:jc w:val="center"/>
                    <w:rPr>
                      <w:b/>
                      <w:szCs w:val="21"/>
                    </w:rPr>
                  </w:pPr>
                  <w:r>
                    <w:rPr>
                      <w:b/>
                      <w:szCs w:val="21"/>
                    </w:rPr>
                    <w:t>容器或包装物容积（L）</w:t>
                  </w:r>
                </w:p>
              </w:tc>
              <w:tc>
                <w:tcPr>
                  <w:tcW w:w="1564" w:type="dxa"/>
                  <w:vAlign w:val="center"/>
                </w:tcPr>
                <w:p>
                  <w:pPr>
                    <w:jc w:val="center"/>
                    <w:rPr>
                      <w:b/>
                      <w:szCs w:val="21"/>
                    </w:rPr>
                  </w:pPr>
                  <w:r>
                    <w:rPr>
                      <w:b/>
                      <w:szCs w:val="21"/>
                    </w:rPr>
                    <w:t>标签最小尺寸（mm*mm）</w:t>
                  </w:r>
                </w:p>
              </w:tc>
              <w:tc>
                <w:tcPr>
                  <w:tcW w:w="1363" w:type="dxa"/>
                  <w:vAlign w:val="center"/>
                </w:tcPr>
                <w:p>
                  <w:pPr>
                    <w:jc w:val="center"/>
                    <w:rPr>
                      <w:b/>
                      <w:szCs w:val="21"/>
                    </w:rPr>
                  </w:pPr>
                  <w:r>
                    <w:rPr>
                      <w:b/>
                      <w:szCs w:val="21"/>
                    </w:rPr>
                    <w:t>最低文字高度（mm）</w:t>
                  </w:r>
                </w:p>
              </w:tc>
              <w:tc>
                <w:tcPr>
                  <w:tcW w:w="2988" w:type="dxa"/>
                  <w:vMerge w:val="restart"/>
                  <w:vAlign w:val="center"/>
                </w:tcPr>
                <w:p>
                  <w:pPr>
                    <w:jc w:val="center"/>
                    <w:rPr>
                      <w:szCs w:val="21"/>
                    </w:rPr>
                  </w:pPr>
                  <w:r>
                    <w:drawing>
                      <wp:inline distT="0" distB="0" distL="0" distR="0">
                        <wp:extent cx="1760220" cy="1750695"/>
                        <wp:effectExtent l="0" t="0" r="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9"/>
                                <a:stretch>
                                  <a:fillRect/>
                                </a:stretch>
                              </pic:blipFill>
                              <pic:spPr>
                                <a:xfrm>
                                  <a:off x="0" y="0"/>
                                  <a:ext cx="1803861" cy="1794416"/>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3" w:hRule="atLeast"/>
                <w:jc w:val="center"/>
              </w:trPr>
              <w:tc>
                <w:tcPr>
                  <w:tcW w:w="782" w:type="dxa"/>
                  <w:vAlign w:val="center"/>
                </w:tcPr>
                <w:p>
                  <w:pPr>
                    <w:jc w:val="center"/>
                    <w:rPr>
                      <w:szCs w:val="21"/>
                    </w:rPr>
                  </w:pPr>
                  <w:r>
                    <w:rPr>
                      <w:szCs w:val="21"/>
                    </w:rPr>
                    <w:t>1</w:t>
                  </w:r>
                </w:p>
              </w:tc>
              <w:tc>
                <w:tcPr>
                  <w:tcW w:w="1604" w:type="dxa"/>
                  <w:vAlign w:val="center"/>
                </w:tcPr>
                <w:p>
                  <w:pPr>
                    <w:jc w:val="center"/>
                    <w:rPr>
                      <w:szCs w:val="21"/>
                    </w:rPr>
                  </w:pPr>
                  <w:r>
                    <w:rPr>
                      <w:szCs w:val="21"/>
                    </w:rPr>
                    <w:t>≤50</w:t>
                  </w:r>
                </w:p>
              </w:tc>
              <w:tc>
                <w:tcPr>
                  <w:tcW w:w="1564" w:type="dxa"/>
                  <w:vAlign w:val="center"/>
                </w:tcPr>
                <w:p>
                  <w:pPr>
                    <w:jc w:val="center"/>
                    <w:rPr>
                      <w:szCs w:val="21"/>
                    </w:rPr>
                  </w:pPr>
                  <w:r>
                    <w:rPr>
                      <w:szCs w:val="21"/>
                    </w:rPr>
                    <w:t>100*100</w:t>
                  </w:r>
                </w:p>
              </w:tc>
              <w:tc>
                <w:tcPr>
                  <w:tcW w:w="1363" w:type="dxa"/>
                  <w:vAlign w:val="center"/>
                </w:tcPr>
                <w:p>
                  <w:pPr>
                    <w:jc w:val="center"/>
                    <w:rPr>
                      <w:szCs w:val="21"/>
                    </w:rPr>
                  </w:pPr>
                  <w:r>
                    <w:rPr>
                      <w:szCs w:val="21"/>
                    </w:rPr>
                    <w:t>3</w:t>
                  </w:r>
                </w:p>
              </w:tc>
              <w:tc>
                <w:tcPr>
                  <w:tcW w:w="2988" w:type="dxa"/>
                  <w:vMerge w:val="continue"/>
                  <w:vAlign w:val="center"/>
                </w:tcPr>
                <w:p>
                  <w:pPr>
                    <w:jc w:val="center"/>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2" w:hRule="atLeast"/>
                <w:jc w:val="center"/>
              </w:trPr>
              <w:tc>
                <w:tcPr>
                  <w:tcW w:w="782" w:type="dxa"/>
                  <w:vAlign w:val="center"/>
                </w:tcPr>
                <w:p>
                  <w:pPr>
                    <w:jc w:val="center"/>
                    <w:rPr>
                      <w:szCs w:val="21"/>
                    </w:rPr>
                  </w:pPr>
                  <w:r>
                    <w:rPr>
                      <w:szCs w:val="21"/>
                    </w:rPr>
                    <w:t>2</w:t>
                  </w:r>
                </w:p>
              </w:tc>
              <w:tc>
                <w:tcPr>
                  <w:tcW w:w="1604" w:type="dxa"/>
                  <w:vAlign w:val="center"/>
                </w:tcPr>
                <w:p>
                  <w:pPr>
                    <w:jc w:val="center"/>
                    <w:rPr>
                      <w:szCs w:val="21"/>
                    </w:rPr>
                  </w:pPr>
                  <w:r>
                    <w:rPr>
                      <w:szCs w:val="21"/>
                    </w:rPr>
                    <w:t>＞50~≤450</w:t>
                  </w:r>
                </w:p>
              </w:tc>
              <w:tc>
                <w:tcPr>
                  <w:tcW w:w="1564" w:type="dxa"/>
                  <w:vAlign w:val="center"/>
                </w:tcPr>
                <w:p>
                  <w:pPr>
                    <w:jc w:val="center"/>
                    <w:rPr>
                      <w:szCs w:val="21"/>
                    </w:rPr>
                  </w:pPr>
                  <w:r>
                    <w:rPr>
                      <w:szCs w:val="21"/>
                    </w:rPr>
                    <w:t>150*150</w:t>
                  </w:r>
                </w:p>
              </w:tc>
              <w:tc>
                <w:tcPr>
                  <w:tcW w:w="1363" w:type="dxa"/>
                  <w:vAlign w:val="center"/>
                </w:tcPr>
                <w:p>
                  <w:pPr>
                    <w:jc w:val="center"/>
                    <w:rPr>
                      <w:szCs w:val="21"/>
                    </w:rPr>
                  </w:pPr>
                  <w:r>
                    <w:rPr>
                      <w:szCs w:val="21"/>
                    </w:rPr>
                    <w:t>5</w:t>
                  </w:r>
                </w:p>
              </w:tc>
              <w:tc>
                <w:tcPr>
                  <w:tcW w:w="2988" w:type="dxa"/>
                  <w:vMerge w:val="continue"/>
                  <w:vAlign w:val="center"/>
                </w:tcPr>
                <w:p>
                  <w:pPr>
                    <w:jc w:val="center"/>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83" w:hRule="atLeast"/>
                <w:jc w:val="center"/>
              </w:trPr>
              <w:tc>
                <w:tcPr>
                  <w:tcW w:w="782" w:type="dxa"/>
                  <w:vAlign w:val="center"/>
                </w:tcPr>
                <w:p>
                  <w:pPr>
                    <w:jc w:val="center"/>
                    <w:rPr>
                      <w:szCs w:val="21"/>
                    </w:rPr>
                  </w:pPr>
                  <w:r>
                    <w:rPr>
                      <w:szCs w:val="21"/>
                    </w:rPr>
                    <w:t>3</w:t>
                  </w:r>
                </w:p>
              </w:tc>
              <w:tc>
                <w:tcPr>
                  <w:tcW w:w="1604" w:type="dxa"/>
                  <w:vAlign w:val="center"/>
                </w:tcPr>
                <w:p>
                  <w:pPr>
                    <w:jc w:val="center"/>
                    <w:rPr>
                      <w:szCs w:val="21"/>
                    </w:rPr>
                  </w:pPr>
                  <w:r>
                    <w:rPr>
                      <w:szCs w:val="21"/>
                    </w:rPr>
                    <w:t>＞450</w:t>
                  </w:r>
                </w:p>
              </w:tc>
              <w:tc>
                <w:tcPr>
                  <w:tcW w:w="1564" w:type="dxa"/>
                  <w:vAlign w:val="center"/>
                </w:tcPr>
                <w:p>
                  <w:pPr>
                    <w:jc w:val="center"/>
                    <w:rPr>
                      <w:szCs w:val="21"/>
                    </w:rPr>
                  </w:pPr>
                  <w:r>
                    <w:rPr>
                      <w:szCs w:val="21"/>
                    </w:rPr>
                    <w:t>200*200</w:t>
                  </w:r>
                </w:p>
              </w:tc>
              <w:tc>
                <w:tcPr>
                  <w:tcW w:w="1363" w:type="dxa"/>
                  <w:vAlign w:val="center"/>
                </w:tcPr>
                <w:p>
                  <w:pPr>
                    <w:jc w:val="center"/>
                    <w:rPr>
                      <w:szCs w:val="21"/>
                    </w:rPr>
                  </w:pPr>
                  <w:r>
                    <w:rPr>
                      <w:szCs w:val="21"/>
                    </w:rPr>
                    <w:t>6</w:t>
                  </w:r>
                </w:p>
              </w:tc>
              <w:tc>
                <w:tcPr>
                  <w:tcW w:w="2988" w:type="dxa"/>
                  <w:vMerge w:val="continue"/>
                  <w:vAlign w:val="center"/>
                </w:tcPr>
                <w:p>
                  <w:pPr>
                    <w:jc w:val="center"/>
                    <w:rPr>
                      <w:szCs w:val="21"/>
                    </w:rPr>
                  </w:pPr>
                </w:p>
              </w:tc>
            </w:tr>
          </w:tbl>
          <w:p>
            <w:pPr>
              <w:spacing w:line="360" w:lineRule="auto"/>
              <w:ind w:firstLine="481" w:firstLineChars="200"/>
              <w:rPr>
                <w:b/>
                <w:sz w:val="24"/>
              </w:rPr>
            </w:pPr>
            <w:r>
              <w:rPr>
                <w:rFonts w:hint="eastAsia" w:ascii="宋体" w:hAnsi="宋体"/>
                <w:b/>
                <w:sz w:val="24"/>
              </w:rPr>
              <w:t>②</w:t>
            </w:r>
            <w:r>
              <w:rPr>
                <w:b/>
                <w:sz w:val="24"/>
              </w:rPr>
              <w:t>危险废物储存分区标志设置要求</w:t>
            </w:r>
          </w:p>
          <w:p>
            <w:pPr>
              <w:spacing w:line="360" w:lineRule="auto"/>
              <w:ind w:firstLine="480" w:firstLineChars="200"/>
              <w:rPr>
                <w:sz w:val="24"/>
              </w:rPr>
            </w:pPr>
            <w:r>
              <w:rPr>
                <w:sz w:val="24"/>
              </w:rPr>
              <w:t>A、危险废物贮存分区标志应以醒目的方式标注“危险废物贮存分区标志”字样。</w:t>
            </w:r>
          </w:p>
          <w:p>
            <w:pPr>
              <w:spacing w:line="360" w:lineRule="auto"/>
              <w:ind w:firstLine="480" w:firstLineChars="200"/>
              <w:rPr>
                <w:sz w:val="24"/>
              </w:rPr>
            </w:pPr>
            <w:r>
              <w:rPr>
                <w:sz w:val="24"/>
              </w:rPr>
              <w:t>B、危险废物贮存分区标志应包含但不限于设施内部所有贮存分区的平面分布、各分区存放的危险废物信息、本贮存分区的具体位置、环境应急物资所在位置以及进出口位置和方向。</w:t>
            </w:r>
          </w:p>
          <w:p>
            <w:pPr>
              <w:spacing w:line="360" w:lineRule="auto"/>
              <w:ind w:firstLine="480" w:firstLineChars="200"/>
              <w:rPr>
                <w:sz w:val="24"/>
              </w:rPr>
            </w:pPr>
            <w:r>
              <w:rPr>
                <w:sz w:val="24"/>
              </w:rPr>
              <w:t>C、危险废物贮存单位可根据自身贮存设施建设情况，在危险废物贮存分区标志中添加收集池、导流沟和通道等信息。</w:t>
            </w:r>
          </w:p>
          <w:p>
            <w:pPr>
              <w:spacing w:line="360" w:lineRule="auto"/>
              <w:ind w:firstLine="480" w:firstLineChars="200"/>
              <w:rPr>
                <w:sz w:val="24"/>
              </w:rPr>
            </w:pPr>
            <w:r>
              <w:rPr>
                <w:sz w:val="24"/>
              </w:rPr>
              <w:t>D、危险废物贮存分区标志的信息应随着设施内废物贮存情况的变化及时调整。</w:t>
            </w:r>
          </w:p>
          <w:p>
            <w:pPr>
              <w:spacing w:line="360" w:lineRule="auto"/>
              <w:ind w:firstLine="480" w:firstLineChars="200"/>
              <w:rPr>
                <w:sz w:val="24"/>
              </w:rPr>
            </w:pPr>
            <w:r>
              <w:rPr>
                <w:sz w:val="24"/>
              </w:rPr>
              <w:t>E、危险废物贮存分区的划分应满足GB18597中的有关规定。宜在危险废物贮存设施内的每一个贮存分区处设置危险废物贮存分区标志。</w:t>
            </w:r>
          </w:p>
          <w:p>
            <w:pPr>
              <w:spacing w:line="360" w:lineRule="auto"/>
              <w:ind w:firstLine="480" w:firstLineChars="200"/>
              <w:rPr>
                <w:sz w:val="24"/>
              </w:rPr>
            </w:pPr>
            <w:r>
              <w:rPr>
                <w:sz w:val="24"/>
              </w:rPr>
              <w:t>F、危险废物贮存分区标志宜设置在该贮存分区前的通道位置或墙壁、栏杆等易于观察的位置。6.2.3宜根据危险废物贮存分区标志的设置位置和观察距离按照本标准第9.2条中的制作要求设置相应的标志。</w:t>
            </w:r>
          </w:p>
          <w:p>
            <w:pPr>
              <w:spacing w:line="360" w:lineRule="auto"/>
              <w:ind w:firstLine="480" w:firstLineChars="200"/>
              <w:rPr>
                <w:sz w:val="24"/>
              </w:rPr>
            </w:pPr>
            <w:r>
              <w:rPr>
                <w:sz w:val="24"/>
              </w:rPr>
              <w:t>G、危险废物贮存分区标志可采用附着式（如钉挂、粘贴等）、悬挂式和柱式（固定于标志杆或支架等物体上）等固定形式。</w:t>
            </w:r>
          </w:p>
          <w:p>
            <w:pPr>
              <w:spacing w:line="360" w:lineRule="auto"/>
              <w:ind w:firstLine="480" w:firstLineChars="200"/>
              <w:rPr>
                <w:sz w:val="24"/>
              </w:rPr>
            </w:pPr>
            <w:r>
              <w:rPr>
                <w:sz w:val="24"/>
              </w:rPr>
              <w:t>H、危险废物贮存分区标志中各贮存分区存放的危险废物种类信息可采用卡槽式或附着式（如钉挂、粘贴等）固定方式。</w:t>
            </w:r>
          </w:p>
          <w:p>
            <w:pPr>
              <w:jc w:val="center"/>
              <w:rPr>
                <w:b/>
                <w:sz w:val="24"/>
              </w:rPr>
            </w:pPr>
            <w:r>
              <w:rPr>
                <w:b/>
                <w:sz w:val="24"/>
              </w:rPr>
              <w:t>表4.9-5物贮存分区标志尺寸要求一览表</w:t>
            </w:r>
          </w:p>
          <w:tbl>
            <w:tblPr>
              <w:tblStyle w:val="3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93"/>
              <w:gridCol w:w="3505"/>
              <w:gridCol w:w="1676"/>
              <w:gridCol w:w="12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35" w:type="pct"/>
                  <w:vMerge w:val="restart"/>
                  <w:vAlign w:val="center"/>
                </w:tcPr>
                <w:p>
                  <w:pPr>
                    <w:jc w:val="center"/>
                    <w:rPr>
                      <w:b/>
                      <w:szCs w:val="21"/>
                    </w:rPr>
                  </w:pPr>
                  <w:r>
                    <w:rPr>
                      <w:b/>
                      <w:szCs w:val="21"/>
                    </w:rPr>
                    <w:t>观察距离L（m）</w:t>
                  </w:r>
                </w:p>
              </w:tc>
              <w:tc>
                <w:tcPr>
                  <w:tcW w:w="2068" w:type="pct"/>
                  <w:vMerge w:val="restart"/>
                  <w:vAlign w:val="center"/>
                </w:tcPr>
                <w:p>
                  <w:pPr>
                    <w:jc w:val="center"/>
                    <w:rPr>
                      <w:b/>
                      <w:szCs w:val="21"/>
                    </w:rPr>
                  </w:pPr>
                  <w:r>
                    <w:rPr>
                      <w:b/>
                      <w:szCs w:val="21"/>
                    </w:rPr>
                    <w:t>标志整体外形最小尺寸（mm）</w:t>
                  </w:r>
                </w:p>
              </w:tc>
              <w:tc>
                <w:tcPr>
                  <w:tcW w:w="1697" w:type="pct"/>
                  <w:gridSpan w:val="2"/>
                  <w:vAlign w:val="center"/>
                </w:tcPr>
                <w:p>
                  <w:pPr>
                    <w:jc w:val="center"/>
                    <w:rPr>
                      <w:b/>
                      <w:szCs w:val="21"/>
                    </w:rPr>
                  </w:pPr>
                  <w:r>
                    <w:rPr>
                      <w:b/>
                      <w:szCs w:val="21"/>
                    </w:rPr>
                    <w:t>最低文字高度（mm）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35" w:type="pct"/>
                  <w:vMerge w:val="continue"/>
                  <w:vAlign w:val="center"/>
                </w:tcPr>
                <w:p>
                  <w:pPr>
                    <w:jc w:val="center"/>
                    <w:rPr>
                      <w:b/>
                      <w:szCs w:val="21"/>
                    </w:rPr>
                  </w:pPr>
                </w:p>
              </w:tc>
              <w:tc>
                <w:tcPr>
                  <w:tcW w:w="2068" w:type="pct"/>
                  <w:vMerge w:val="continue"/>
                  <w:vAlign w:val="center"/>
                </w:tcPr>
                <w:p>
                  <w:pPr>
                    <w:jc w:val="center"/>
                    <w:rPr>
                      <w:b/>
                      <w:szCs w:val="21"/>
                    </w:rPr>
                  </w:pPr>
                </w:p>
              </w:tc>
              <w:tc>
                <w:tcPr>
                  <w:tcW w:w="989" w:type="pct"/>
                  <w:vAlign w:val="center"/>
                </w:tcPr>
                <w:p>
                  <w:pPr>
                    <w:jc w:val="center"/>
                    <w:rPr>
                      <w:b/>
                      <w:szCs w:val="21"/>
                    </w:rPr>
                  </w:pPr>
                  <w:r>
                    <w:rPr>
                      <w:b/>
                      <w:szCs w:val="21"/>
                    </w:rPr>
                    <w:t>贮存分区标志</w:t>
                  </w:r>
                </w:p>
              </w:tc>
              <w:tc>
                <w:tcPr>
                  <w:tcW w:w="708" w:type="pct"/>
                  <w:vAlign w:val="center"/>
                </w:tcPr>
                <w:p>
                  <w:pPr>
                    <w:jc w:val="center"/>
                    <w:rPr>
                      <w:b/>
                      <w:szCs w:val="21"/>
                    </w:rPr>
                  </w:pPr>
                  <w:r>
                    <w:rPr>
                      <w:b/>
                      <w:szCs w:val="21"/>
                    </w:rPr>
                    <w:t>其他文字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35" w:type="pct"/>
                  <w:vAlign w:val="center"/>
                </w:tcPr>
                <w:p>
                  <w:pPr>
                    <w:jc w:val="center"/>
                    <w:rPr>
                      <w:szCs w:val="21"/>
                    </w:rPr>
                  </w:pPr>
                  <w:r>
                    <w:rPr>
                      <w:szCs w:val="21"/>
                    </w:rPr>
                    <w:t>0＜L≤2.5</w:t>
                  </w:r>
                </w:p>
              </w:tc>
              <w:tc>
                <w:tcPr>
                  <w:tcW w:w="2068" w:type="pct"/>
                  <w:vAlign w:val="center"/>
                </w:tcPr>
                <w:p>
                  <w:pPr>
                    <w:jc w:val="center"/>
                    <w:rPr>
                      <w:szCs w:val="21"/>
                    </w:rPr>
                  </w:pPr>
                  <w:r>
                    <w:rPr>
                      <w:szCs w:val="21"/>
                    </w:rPr>
                    <w:t>300*300</w:t>
                  </w:r>
                </w:p>
              </w:tc>
              <w:tc>
                <w:tcPr>
                  <w:tcW w:w="989" w:type="pct"/>
                  <w:vAlign w:val="center"/>
                </w:tcPr>
                <w:p>
                  <w:pPr>
                    <w:jc w:val="center"/>
                    <w:rPr>
                      <w:szCs w:val="21"/>
                    </w:rPr>
                  </w:pPr>
                  <w:r>
                    <w:rPr>
                      <w:szCs w:val="21"/>
                    </w:rPr>
                    <w:t>20</w:t>
                  </w:r>
                </w:p>
              </w:tc>
              <w:tc>
                <w:tcPr>
                  <w:tcW w:w="708" w:type="pct"/>
                  <w:vAlign w:val="center"/>
                </w:tcPr>
                <w:p>
                  <w:pPr>
                    <w:jc w:val="center"/>
                    <w:rPr>
                      <w:szCs w:val="21"/>
                    </w:rPr>
                  </w:pPr>
                  <w:r>
                    <w:rPr>
                      <w:szCs w:val="21"/>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235" w:type="pct"/>
                  <w:vAlign w:val="center"/>
                </w:tcPr>
                <w:p>
                  <w:pPr>
                    <w:jc w:val="center"/>
                    <w:rPr>
                      <w:szCs w:val="21"/>
                    </w:rPr>
                  </w:pPr>
                  <w:r>
                    <w:rPr>
                      <w:szCs w:val="21"/>
                    </w:rPr>
                    <w:t>2.5＜L≤4</w:t>
                  </w:r>
                </w:p>
              </w:tc>
              <w:tc>
                <w:tcPr>
                  <w:tcW w:w="2068" w:type="pct"/>
                  <w:vAlign w:val="center"/>
                </w:tcPr>
                <w:p>
                  <w:pPr>
                    <w:jc w:val="center"/>
                    <w:rPr>
                      <w:szCs w:val="21"/>
                    </w:rPr>
                  </w:pPr>
                  <w:r>
                    <w:rPr>
                      <w:szCs w:val="21"/>
                    </w:rPr>
                    <w:t>450*450</w:t>
                  </w:r>
                </w:p>
              </w:tc>
              <w:tc>
                <w:tcPr>
                  <w:tcW w:w="989" w:type="pct"/>
                  <w:vAlign w:val="center"/>
                </w:tcPr>
                <w:p>
                  <w:pPr>
                    <w:jc w:val="center"/>
                    <w:rPr>
                      <w:szCs w:val="21"/>
                    </w:rPr>
                  </w:pPr>
                  <w:r>
                    <w:rPr>
                      <w:szCs w:val="21"/>
                    </w:rPr>
                    <w:t>30</w:t>
                  </w:r>
                </w:p>
              </w:tc>
              <w:tc>
                <w:tcPr>
                  <w:tcW w:w="708" w:type="pct"/>
                  <w:vAlign w:val="center"/>
                </w:tcPr>
                <w:p>
                  <w:pPr>
                    <w:jc w:val="center"/>
                    <w:rPr>
                      <w:szCs w:val="21"/>
                    </w:rPr>
                  </w:pPr>
                  <w:r>
                    <w:rPr>
                      <w:szCs w:val="21"/>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35" w:type="pct"/>
                  <w:vAlign w:val="center"/>
                </w:tcPr>
                <w:p>
                  <w:pPr>
                    <w:jc w:val="center"/>
                    <w:rPr>
                      <w:szCs w:val="21"/>
                    </w:rPr>
                  </w:pPr>
                  <w:r>
                    <w:rPr>
                      <w:szCs w:val="21"/>
                    </w:rPr>
                    <w:t>L＞</w:t>
                  </w:r>
                </w:p>
              </w:tc>
              <w:tc>
                <w:tcPr>
                  <w:tcW w:w="2068" w:type="pct"/>
                  <w:vAlign w:val="center"/>
                </w:tcPr>
                <w:p>
                  <w:pPr>
                    <w:jc w:val="center"/>
                    <w:rPr>
                      <w:szCs w:val="21"/>
                    </w:rPr>
                  </w:pPr>
                  <w:r>
                    <w:rPr>
                      <w:szCs w:val="21"/>
                    </w:rPr>
                    <w:t>600*600</w:t>
                  </w:r>
                </w:p>
              </w:tc>
              <w:tc>
                <w:tcPr>
                  <w:tcW w:w="989" w:type="pct"/>
                  <w:vAlign w:val="center"/>
                </w:tcPr>
                <w:p>
                  <w:pPr>
                    <w:jc w:val="center"/>
                    <w:rPr>
                      <w:szCs w:val="21"/>
                    </w:rPr>
                  </w:pPr>
                  <w:r>
                    <w:rPr>
                      <w:szCs w:val="21"/>
                    </w:rPr>
                    <w:t>40</w:t>
                  </w:r>
                </w:p>
              </w:tc>
              <w:tc>
                <w:tcPr>
                  <w:tcW w:w="708" w:type="pct"/>
                  <w:vAlign w:val="center"/>
                </w:tcPr>
                <w:p>
                  <w:pPr>
                    <w:jc w:val="center"/>
                    <w:rPr>
                      <w:szCs w:val="21"/>
                    </w:rPr>
                  </w:pPr>
                  <w:r>
                    <w:rPr>
                      <w:szCs w:val="21"/>
                    </w:rPr>
                    <w:t>12</w:t>
                  </w:r>
                </w:p>
              </w:tc>
            </w:tr>
          </w:tbl>
          <w:p>
            <w:pPr>
              <w:spacing w:line="360" w:lineRule="auto"/>
              <w:ind w:firstLine="481" w:firstLineChars="200"/>
              <w:rPr>
                <w:b/>
                <w:sz w:val="24"/>
              </w:rPr>
            </w:pPr>
            <w:r>
              <w:rPr>
                <w:rFonts w:hint="eastAsia" w:ascii="宋体" w:hAnsi="宋体"/>
                <w:b/>
                <w:sz w:val="24"/>
              </w:rPr>
              <w:t>③</w:t>
            </w:r>
            <w:r>
              <w:rPr>
                <w:b/>
                <w:sz w:val="24"/>
              </w:rPr>
              <w:t>危险废物贮存、利用、处置设施标志设置要求</w:t>
            </w:r>
          </w:p>
          <w:p>
            <w:pPr>
              <w:spacing w:line="360" w:lineRule="auto"/>
              <w:ind w:firstLine="480" w:firstLineChars="200"/>
              <w:rPr>
                <w:sz w:val="24"/>
              </w:rPr>
            </w:pPr>
            <w:r>
              <w:rPr>
                <w:sz w:val="24"/>
              </w:rPr>
              <w:t>A、危险废物贮存、利用、处置设施标志应包含三角形警告性图形标志和文字性辅助标志，其中三角形警告性图形标志应符合GB 15562.2中的要求。</w:t>
            </w:r>
          </w:p>
          <w:p>
            <w:pPr>
              <w:spacing w:line="360" w:lineRule="auto"/>
              <w:ind w:firstLine="480" w:firstLineChars="200"/>
              <w:rPr>
                <w:sz w:val="24"/>
              </w:rPr>
            </w:pPr>
            <w:r>
              <w:rPr>
                <w:sz w:val="24"/>
              </w:rPr>
              <w:t>B、危险废物贮存、利用、处置设施标志应以醒目的文字标注危险废物设施的类型。</w:t>
            </w:r>
          </w:p>
          <w:p>
            <w:pPr>
              <w:spacing w:line="360" w:lineRule="auto"/>
              <w:ind w:firstLine="480" w:firstLineChars="200"/>
              <w:rPr>
                <w:sz w:val="24"/>
              </w:rPr>
            </w:pPr>
            <w:r>
              <w:rPr>
                <w:sz w:val="24"/>
              </w:rPr>
              <w:t>C、危险废物贮存、利用、处置设施标志还应包含危险废物设施所属的单位名称、设施编码、负责人及联系方式。</w:t>
            </w:r>
          </w:p>
          <w:p>
            <w:pPr>
              <w:spacing w:line="360" w:lineRule="auto"/>
              <w:ind w:firstLine="480" w:firstLineChars="200"/>
              <w:rPr>
                <w:sz w:val="24"/>
              </w:rPr>
            </w:pPr>
            <w:r>
              <w:rPr>
                <w:sz w:val="24"/>
              </w:rPr>
              <w:t>D、危险废物贮存、利用、处置设施标志宜设置二维码，对设施使用情况进行信息化管理。</w:t>
            </w:r>
          </w:p>
          <w:p>
            <w:pPr>
              <w:spacing w:line="360" w:lineRule="auto"/>
              <w:ind w:firstLine="480" w:firstLineChars="200"/>
              <w:rPr>
                <w:sz w:val="24"/>
              </w:rPr>
            </w:pPr>
            <w:r>
              <w:rPr>
                <w:sz w:val="24"/>
              </w:rPr>
              <w:t>E、危险废物相关单位的每一个贮存、利用、处置设施均应在设施附近或场所的入口处设置相应的危险废物贮存设施标志、危险废物利用设施标志、危险废物处置设施标志。</w:t>
            </w:r>
          </w:p>
          <w:p>
            <w:pPr>
              <w:spacing w:line="360" w:lineRule="auto"/>
              <w:ind w:firstLine="480" w:firstLineChars="200"/>
              <w:rPr>
                <w:sz w:val="24"/>
              </w:rPr>
            </w:pPr>
            <w:r>
              <w:rPr>
                <w:sz w:val="24"/>
              </w:rPr>
              <w:t>F、对于有独立场所的危险废物贮存、利用、处置设施，应在场所外入口处的墙壁或栏杆显著位置设置相应的设施标志。</w:t>
            </w:r>
          </w:p>
          <w:p>
            <w:pPr>
              <w:spacing w:line="360" w:lineRule="auto"/>
              <w:ind w:firstLine="480" w:firstLineChars="200"/>
              <w:rPr>
                <w:sz w:val="24"/>
              </w:rPr>
            </w:pPr>
            <w:r>
              <w:rPr>
                <w:sz w:val="24"/>
              </w:rPr>
              <w:t>G、位于建筑物内局部区域的危险废物贮存、利用、处置设施，应在其区域边界或入口处显著位置设置相应的标志。</w:t>
            </w:r>
          </w:p>
          <w:p>
            <w:pPr>
              <w:spacing w:line="360" w:lineRule="auto"/>
              <w:ind w:firstLine="480" w:firstLineChars="200"/>
              <w:rPr>
                <w:sz w:val="24"/>
              </w:rPr>
            </w:pPr>
            <w:r>
              <w:rPr>
                <w:sz w:val="24"/>
              </w:rPr>
              <w:t>H、对于危险废物填埋场等开放式的危险废物相关设施，除了固定的入口处之外，还可根据环境管理需要在相关位置设置更多的标志。</w:t>
            </w:r>
          </w:p>
          <w:p>
            <w:pPr>
              <w:spacing w:line="360" w:lineRule="auto"/>
              <w:ind w:firstLine="480" w:firstLineChars="200"/>
              <w:rPr>
                <w:sz w:val="24"/>
              </w:rPr>
            </w:pPr>
            <w:r>
              <w:rPr>
                <w:sz w:val="24"/>
              </w:rPr>
              <w:t>I、危险废物设施标志可采用附着式和柱式两种固定方式，应优先选择附着式，当无法选择附着式时，可选择柱式。</w:t>
            </w:r>
          </w:p>
          <w:p>
            <w:pPr>
              <w:spacing w:line="360" w:lineRule="auto"/>
              <w:ind w:firstLine="480" w:firstLineChars="200"/>
              <w:rPr>
                <w:sz w:val="24"/>
              </w:rPr>
            </w:pPr>
            <w:r>
              <w:rPr>
                <w:sz w:val="24"/>
              </w:rPr>
              <w:t>J、附着式标志的设置高度，应尽量与视线高度一致;柱式的标志和支架应牢固地联接在一起，标志牌最上端距地面约2 m；位于室外的标志牌中，支架固定在地下的，其支架埋深约0.3m。</w:t>
            </w:r>
          </w:p>
          <w:p>
            <w:pPr>
              <w:spacing w:line="360" w:lineRule="auto"/>
              <w:ind w:firstLine="480" w:firstLineChars="200"/>
              <w:rPr>
                <w:sz w:val="24"/>
              </w:rPr>
            </w:pPr>
            <w:r>
              <w:rPr>
                <w:sz w:val="24"/>
              </w:rPr>
              <w:t>K、危险废物设施标志应稳固固定，不能产生倾斜、卷翘、摆动等现象。在室外露天设置时，应充分考虑风力的影响。</w:t>
            </w:r>
          </w:p>
          <w:p>
            <w:pPr>
              <w:jc w:val="center"/>
              <w:rPr>
                <w:b/>
                <w:sz w:val="24"/>
              </w:rPr>
            </w:pPr>
            <w:r>
              <w:rPr>
                <w:b/>
                <w:sz w:val="24"/>
              </w:rPr>
              <w:t>表4.9-6察距离时危险废物贮存、利用、处置设施标志的尺寸要求</w:t>
            </w:r>
          </w:p>
          <w:tbl>
            <w:tblPr>
              <w:tblStyle w:val="3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61"/>
              <w:gridCol w:w="937"/>
              <w:gridCol w:w="1471"/>
              <w:gridCol w:w="1317"/>
              <w:gridCol w:w="1317"/>
              <w:gridCol w:w="1349"/>
              <w:gridCol w:w="724"/>
              <w:gridCol w:w="5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49" w:type="pct"/>
                  <w:vMerge w:val="restart"/>
                  <w:vAlign w:val="center"/>
                </w:tcPr>
                <w:p>
                  <w:pPr>
                    <w:jc w:val="center"/>
                    <w:rPr>
                      <w:b/>
                      <w:szCs w:val="21"/>
                    </w:rPr>
                  </w:pPr>
                  <w:r>
                    <w:rPr>
                      <w:b/>
                      <w:szCs w:val="21"/>
                    </w:rPr>
                    <w:t>设置位置</w:t>
                  </w:r>
                </w:p>
              </w:tc>
              <w:tc>
                <w:tcPr>
                  <w:tcW w:w="553" w:type="pct"/>
                  <w:vMerge w:val="restart"/>
                  <w:vAlign w:val="center"/>
                </w:tcPr>
                <w:p>
                  <w:pPr>
                    <w:jc w:val="center"/>
                    <w:rPr>
                      <w:b/>
                      <w:szCs w:val="21"/>
                    </w:rPr>
                  </w:pPr>
                  <w:r>
                    <w:rPr>
                      <w:b/>
                      <w:szCs w:val="21"/>
                    </w:rPr>
                    <w:t>观察距离L（m）</w:t>
                  </w:r>
                </w:p>
              </w:tc>
              <w:tc>
                <w:tcPr>
                  <w:tcW w:w="868" w:type="pct"/>
                  <w:vMerge w:val="restart"/>
                  <w:vAlign w:val="center"/>
                </w:tcPr>
                <w:p>
                  <w:pPr>
                    <w:jc w:val="center"/>
                    <w:rPr>
                      <w:b/>
                      <w:szCs w:val="21"/>
                    </w:rPr>
                  </w:pPr>
                  <w:r>
                    <w:rPr>
                      <w:b/>
                      <w:szCs w:val="21"/>
                    </w:rPr>
                    <w:t>标志牌整体外形最小尺寸（mm）</w:t>
                  </w:r>
                </w:p>
              </w:tc>
              <w:tc>
                <w:tcPr>
                  <w:tcW w:w="2350" w:type="pct"/>
                  <w:gridSpan w:val="3"/>
                  <w:vAlign w:val="center"/>
                </w:tcPr>
                <w:p>
                  <w:pPr>
                    <w:jc w:val="center"/>
                    <w:rPr>
                      <w:b/>
                      <w:szCs w:val="21"/>
                    </w:rPr>
                  </w:pPr>
                  <w:r>
                    <w:rPr>
                      <w:b/>
                      <w:szCs w:val="21"/>
                    </w:rPr>
                    <w:t>三角形警告性标志</w:t>
                  </w:r>
                </w:p>
              </w:tc>
              <w:tc>
                <w:tcPr>
                  <w:tcW w:w="780" w:type="pct"/>
                  <w:gridSpan w:val="2"/>
                  <w:vAlign w:val="center"/>
                </w:tcPr>
                <w:p>
                  <w:pPr>
                    <w:jc w:val="center"/>
                    <w:rPr>
                      <w:b/>
                      <w:szCs w:val="21"/>
                    </w:rPr>
                  </w:pPr>
                  <w:r>
                    <w:rPr>
                      <w:b/>
                      <w:szCs w:val="21"/>
                    </w:rPr>
                    <w:t>最低文字高度（mm）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49" w:type="pct"/>
                  <w:vMerge w:val="continue"/>
                  <w:vAlign w:val="center"/>
                </w:tcPr>
                <w:p>
                  <w:pPr>
                    <w:jc w:val="center"/>
                    <w:rPr>
                      <w:b/>
                      <w:szCs w:val="21"/>
                    </w:rPr>
                  </w:pPr>
                </w:p>
              </w:tc>
              <w:tc>
                <w:tcPr>
                  <w:tcW w:w="553" w:type="pct"/>
                  <w:vMerge w:val="continue"/>
                  <w:vAlign w:val="center"/>
                </w:tcPr>
                <w:p>
                  <w:pPr>
                    <w:jc w:val="center"/>
                    <w:rPr>
                      <w:b/>
                      <w:szCs w:val="21"/>
                    </w:rPr>
                  </w:pPr>
                </w:p>
              </w:tc>
              <w:tc>
                <w:tcPr>
                  <w:tcW w:w="868" w:type="pct"/>
                  <w:vMerge w:val="continue"/>
                  <w:vAlign w:val="center"/>
                </w:tcPr>
                <w:p>
                  <w:pPr>
                    <w:jc w:val="center"/>
                    <w:rPr>
                      <w:b/>
                      <w:szCs w:val="21"/>
                    </w:rPr>
                  </w:pPr>
                </w:p>
              </w:tc>
              <w:tc>
                <w:tcPr>
                  <w:tcW w:w="777" w:type="pct"/>
                  <w:vAlign w:val="center"/>
                </w:tcPr>
                <w:p>
                  <w:pPr>
                    <w:jc w:val="center"/>
                    <w:rPr>
                      <w:b/>
                      <w:szCs w:val="21"/>
                    </w:rPr>
                  </w:pPr>
                  <w:r>
                    <w:rPr>
                      <w:b/>
                      <w:szCs w:val="21"/>
                    </w:rPr>
                    <w:t>三角形外边长a1（mm）</w:t>
                  </w:r>
                </w:p>
              </w:tc>
              <w:tc>
                <w:tcPr>
                  <w:tcW w:w="777" w:type="pct"/>
                  <w:vAlign w:val="center"/>
                </w:tcPr>
                <w:p>
                  <w:pPr>
                    <w:jc w:val="center"/>
                    <w:rPr>
                      <w:b/>
                      <w:szCs w:val="21"/>
                    </w:rPr>
                  </w:pPr>
                  <w:r>
                    <w:rPr>
                      <w:b/>
                      <w:szCs w:val="21"/>
                    </w:rPr>
                    <w:t>三角形内边长a2（mm）</w:t>
                  </w:r>
                </w:p>
              </w:tc>
              <w:tc>
                <w:tcPr>
                  <w:tcW w:w="796" w:type="pct"/>
                  <w:vAlign w:val="center"/>
                </w:tcPr>
                <w:p>
                  <w:pPr>
                    <w:jc w:val="center"/>
                    <w:rPr>
                      <w:b/>
                      <w:szCs w:val="21"/>
                    </w:rPr>
                  </w:pPr>
                  <w:r>
                    <w:rPr>
                      <w:b/>
                      <w:szCs w:val="21"/>
                    </w:rPr>
                    <w:t>边框外角圆弧半径（mm）</w:t>
                  </w:r>
                </w:p>
              </w:tc>
              <w:tc>
                <w:tcPr>
                  <w:tcW w:w="427" w:type="pct"/>
                  <w:vAlign w:val="center"/>
                </w:tcPr>
                <w:p>
                  <w:pPr>
                    <w:jc w:val="center"/>
                    <w:rPr>
                      <w:b/>
                      <w:szCs w:val="21"/>
                    </w:rPr>
                  </w:pPr>
                  <w:r>
                    <w:rPr>
                      <w:b/>
                      <w:szCs w:val="21"/>
                    </w:rPr>
                    <w:t>设施类型名称</w:t>
                  </w:r>
                </w:p>
              </w:tc>
              <w:tc>
                <w:tcPr>
                  <w:tcW w:w="353" w:type="pct"/>
                  <w:vAlign w:val="center"/>
                </w:tcPr>
                <w:p>
                  <w:pPr>
                    <w:jc w:val="center"/>
                    <w:rPr>
                      <w:b/>
                      <w:szCs w:val="21"/>
                    </w:rPr>
                  </w:pPr>
                  <w:r>
                    <w:rPr>
                      <w:b/>
                      <w:szCs w:val="21"/>
                    </w:rPr>
                    <w:t>其他文字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49" w:type="pct"/>
                  <w:vAlign w:val="center"/>
                </w:tcPr>
                <w:p>
                  <w:pPr>
                    <w:jc w:val="center"/>
                    <w:rPr>
                      <w:szCs w:val="21"/>
                    </w:rPr>
                  </w:pPr>
                  <w:r>
                    <w:rPr>
                      <w:szCs w:val="21"/>
                    </w:rPr>
                    <w:t>露天/室外入口</w:t>
                  </w:r>
                </w:p>
              </w:tc>
              <w:tc>
                <w:tcPr>
                  <w:tcW w:w="553" w:type="pct"/>
                  <w:vAlign w:val="center"/>
                </w:tcPr>
                <w:p>
                  <w:pPr>
                    <w:jc w:val="center"/>
                    <w:rPr>
                      <w:szCs w:val="21"/>
                    </w:rPr>
                  </w:pPr>
                  <w:r>
                    <w:rPr>
                      <w:szCs w:val="21"/>
                    </w:rPr>
                    <w:t>＞10</w:t>
                  </w:r>
                </w:p>
              </w:tc>
              <w:tc>
                <w:tcPr>
                  <w:tcW w:w="868" w:type="pct"/>
                  <w:vAlign w:val="center"/>
                </w:tcPr>
                <w:p>
                  <w:pPr>
                    <w:jc w:val="center"/>
                    <w:rPr>
                      <w:szCs w:val="21"/>
                    </w:rPr>
                  </w:pPr>
                  <w:r>
                    <w:rPr>
                      <w:szCs w:val="21"/>
                    </w:rPr>
                    <w:t>900*558</w:t>
                  </w:r>
                </w:p>
              </w:tc>
              <w:tc>
                <w:tcPr>
                  <w:tcW w:w="777" w:type="pct"/>
                  <w:vAlign w:val="center"/>
                </w:tcPr>
                <w:p>
                  <w:pPr>
                    <w:jc w:val="center"/>
                    <w:rPr>
                      <w:szCs w:val="21"/>
                    </w:rPr>
                  </w:pPr>
                  <w:r>
                    <w:rPr>
                      <w:szCs w:val="21"/>
                    </w:rPr>
                    <w:t>500</w:t>
                  </w:r>
                </w:p>
              </w:tc>
              <w:tc>
                <w:tcPr>
                  <w:tcW w:w="777" w:type="pct"/>
                  <w:vAlign w:val="center"/>
                </w:tcPr>
                <w:p>
                  <w:pPr>
                    <w:jc w:val="center"/>
                    <w:rPr>
                      <w:szCs w:val="21"/>
                    </w:rPr>
                  </w:pPr>
                  <w:r>
                    <w:rPr>
                      <w:szCs w:val="21"/>
                    </w:rPr>
                    <w:t>375</w:t>
                  </w:r>
                </w:p>
              </w:tc>
              <w:tc>
                <w:tcPr>
                  <w:tcW w:w="796" w:type="pct"/>
                  <w:vAlign w:val="center"/>
                </w:tcPr>
                <w:p>
                  <w:pPr>
                    <w:jc w:val="center"/>
                    <w:rPr>
                      <w:szCs w:val="21"/>
                    </w:rPr>
                  </w:pPr>
                  <w:r>
                    <w:rPr>
                      <w:szCs w:val="21"/>
                    </w:rPr>
                    <w:t>30</w:t>
                  </w:r>
                </w:p>
              </w:tc>
              <w:tc>
                <w:tcPr>
                  <w:tcW w:w="427" w:type="pct"/>
                  <w:vAlign w:val="center"/>
                </w:tcPr>
                <w:p>
                  <w:pPr>
                    <w:jc w:val="center"/>
                    <w:rPr>
                      <w:szCs w:val="21"/>
                    </w:rPr>
                  </w:pPr>
                  <w:r>
                    <w:rPr>
                      <w:szCs w:val="21"/>
                    </w:rPr>
                    <w:t>48</w:t>
                  </w:r>
                </w:p>
              </w:tc>
              <w:tc>
                <w:tcPr>
                  <w:tcW w:w="353" w:type="pct"/>
                  <w:vAlign w:val="center"/>
                </w:tcPr>
                <w:p>
                  <w:pPr>
                    <w:jc w:val="center"/>
                    <w:rPr>
                      <w:szCs w:val="21"/>
                    </w:rPr>
                  </w:pPr>
                  <w:r>
                    <w:rPr>
                      <w:szCs w:val="21"/>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449" w:type="pct"/>
                  <w:vAlign w:val="center"/>
                </w:tcPr>
                <w:p>
                  <w:pPr>
                    <w:jc w:val="center"/>
                    <w:rPr>
                      <w:szCs w:val="21"/>
                    </w:rPr>
                  </w:pPr>
                  <w:r>
                    <w:rPr>
                      <w:szCs w:val="21"/>
                    </w:rPr>
                    <w:t>室内</w:t>
                  </w:r>
                </w:p>
              </w:tc>
              <w:tc>
                <w:tcPr>
                  <w:tcW w:w="553" w:type="pct"/>
                  <w:vAlign w:val="center"/>
                </w:tcPr>
                <w:p>
                  <w:pPr>
                    <w:jc w:val="center"/>
                    <w:rPr>
                      <w:szCs w:val="21"/>
                    </w:rPr>
                  </w:pPr>
                  <w:r>
                    <w:rPr>
                      <w:szCs w:val="21"/>
                    </w:rPr>
                    <w:t>4＜L≤10</w:t>
                  </w:r>
                </w:p>
              </w:tc>
              <w:tc>
                <w:tcPr>
                  <w:tcW w:w="868" w:type="pct"/>
                  <w:vAlign w:val="center"/>
                </w:tcPr>
                <w:p>
                  <w:pPr>
                    <w:jc w:val="center"/>
                    <w:rPr>
                      <w:szCs w:val="21"/>
                    </w:rPr>
                  </w:pPr>
                  <w:r>
                    <w:rPr>
                      <w:szCs w:val="21"/>
                    </w:rPr>
                    <w:t>600*372</w:t>
                  </w:r>
                </w:p>
              </w:tc>
              <w:tc>
                <w:tcPr>
                  <w:tcW w:w="777" w:type="pct"/>
                  <w:vAlign w:val="center"/>
                </w:tcPr>
                <w:p>
                  <w:pPr>
                    <w:jc w:val="center"/>
                    <w:rPr>
                      <w:szCs w:val="21"/>
                    </w:rPr>
                  </w:pPr>
                  <w:r>
                    <w:rPr>
                      <w:szCs w:val="21"/>
                    </w:rPr>
                    <w:t>300</w:t>
                  </w:r>
                </w:p>
              </w:tc>
              <w:tc>
                <w:tcPr>
                  <w:tcW w:w="777" w:type="pct"/>
                  <w:vAlign w:val="center"/>
                </w:tcPr>
                <w:p>
                  <w:pPr>
                    <w:jc w:val="center"/>
                    <w:rPr>
                      <w:szCs w:val="21"/>
                    </w:rPr>
                  </w:pPr>
                  <w:r>
                    <w:rPr>
                      <w:szCs w:val="21"/>
                    </w:rPr>
                    <w:t>225</w:t>
                  </w:r>
                </w:p>
              </w:tc>
              <w:tc>
                <w:tcPr>
                  <w:tcW w:w="796" w:type="pct"/>
                  <w:vAlign w:val="center"/>
                </w:tcPr>
                <w:p>
                  <w:pPr>
                    <w:jc w:val="center"/>
                    <w:rPr>
                      <w:szCs w:val="21"/>
                    </w:rPr>
                  </w:pPr>
                  <w:r>
                    <w:rPr>
                      <w:szCs w:val="21"/>
                    </w:rPr>
                    <w:t>18</w:t>
                  </w:r>
                </w:p>
              </w:tc>
              <w:tc>
                <w:tcPr>
                  <w:tcW w:w="427" w:type="pct"/>
                  <w:vAlign w:val="center"/>
                </w:tcPr>
                <w:p>
                  <w:pPr>
                    <w:jc w:val="center"/>
                    <w:rPr>
                      <w:szCs w:val="21"/>
                    </w:rPr>
                  </w:pPr>
                  <w:r>
                    <w:rPr>
                      <w:szCs w:val="21"/>
                    </w:rPr>
                    <w:t>32</w:t>
                  </w:r>
                </w:p>
              </w:tc>
              <w:tc>
                <w:tcPr>
                  <w:tcW w:w="353" w:type="pct"/>
                  <w:vAlign w:val="center"/>
                </w:tcPr>
                <w:p>
                  <w:pPr>
                    <w:jc w:val="center"/>
                    <w:rPr>
                      <w:szCs w:val="21"/>
                    </w:rPr>
                  </w:pPr>
                  <w:r>
                    <w:rPr>
                      <w:szCs w:val="21"/>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49" w:type="pct"/>
                  <w:vAlign w:val="center"/>
                </w:tcPr>
                <w:p>
                  <w:pPr>
                    <w:jc w:val="center"/>
                    <w:rPr>
                      <w:szCs w:val="21"/>
                    </w:rPr>
                  </w:pPr>
                  <w:r>
                    <w:rPr>
                      <w:szCs w:val="21"/>
                    </w:rPr>
                    <w:t>室内</w:t>
                  </w:r>
                </w:p>
              </w:tc>
              <w:tc>
                <w:tcPr>
                  <w:tcW w:w="553" w:type="pct"/>
                  <w:vAlign w:val="center"/>
                </w:tcPr>
                <w:p>
                  <w:pPr>
                    <w:jc w:val="center"/>
                    <w:rPr>
                      <w:szCs w:val="21"/>
                    </w:rPr>
                  </w:pPr>
                  <w:r>
                    <w:rPr>
                      <w:szCs w:val="21"/>
                    </w:rPr>
                    <w:t>≤4</w:t>
                  </w:r>
                </w:p>
              </w:tc>
              <w:tc>
                <w:tcPr>
                  <w:tcW w:w="868" w:type="pct"/>
                  <w:vAlign w:val="center"/>
                </w:tcPr>
                <w:p>
                  <w:pPr>
                    <w:jc w:val="center"/>
                    <w:rPr>
                      <w:szCs w:val="21"/>
                    </w:rPr>
                  </w:pPr>
                  <w:r>
                    <w:rPr>
                      <w:szCs w:val="21"/>
                    </w:rPr>
                    <w:t>300*186</w:t>
                  </w:r>
                </w:p>
              </w:tc>
              <w:tc>
                <w:tcPr>
                  <w:tcW w:w="777" w:type="pct"/>
                  <w:vAlign w:val="center"/>
                </w:tcPr>
                <w:p>
                  <w:pPr>
                    <w:jc w:val="center"/>
                    <w:rPr>
                      <w:szCs w:val="21"/>
                    </w:rPr>
                  </w:pPr>
                  <w:r>
                    <w:rPr>
                      <w:szCs w:val="21"/>
                    </w:rPr>
                    <w:t>140</w:t>
                  </w:r>
                </w:p>
              </w:tc>
              <w:tc>
                <w:tcPr>
                  <w:tcW w:w="777" w:type="pct"/>
                  <w:vAlign w:val="center"/>
                </w:tcPr>
                <w:p>
                  <w:pPr>
                    <w:jc w:val="center"/>
                    <w:rPr>
                      <w:szCs w:val="21"/>
                    </w:rPr>
                  </w:pPr>
                  <w:r>
                    <w:rPr>
                      <w:szCs w:val="21"/>
                    </w:rPr>
                    <w:t>105</w:t>
                  </w:r>
                </w:p>
              </w:tc>
              <w:tc>
                <w:tcPr>
                  <w:tcW w:w="796" w:type="pct"/>
                  <w:vAlign w:val="center"/>
                </w:tcPr>
                <w:p>
                  <w:pPr>
                    <w:jc w:val="center"/>
                    <w:rPr>
                      <w:szCs w:val="21"/>
                    </w:rPr>
                  </w:pPr>
                  <w:r>
                    <w:rPr>
                      <w:szCs w:val="21"/>
                    </w:rPr>
                    <w:t>8.4</w:t>
                  </w:r>
                </w:p>
              </w:tc>
              <w:tc>
                <w:tcPr>
                  <w:tcW w:w="427" w:type="pct"/>
                  <w:vAlign w:val="center"/>
                </w:tcPr>
                <w:p>
                  <w:pPr>
                    <w:jc w:val="center"/>
                    <w:rPr>
                      <w:szCs w:val="21"/>
                    </w:rPr>
                  </w:pPr>
                  <w:r>
                    <w:rPr>
                      <w:szCs w:val="21"/>
                    </w:rPr>
                    <w:t>16</w:t>
                  </w:r>
                </w:p>
              </w:tc>
              <w:tc>
                <w:tcPr>
                  <w:tcW w:w="353" w:type="pct"/>
                  <w:vAlign w:val="center"/>
                </w:tcPr>
                <w:p>
                  <w:pPr>
                    <w:jc w:val="center"/>
                    <w:rPr>
                      <w:szCs w:val="21"/>
                    </w:rPr>
                  </w:pPr>
                  <w:r>
                    <w:rPr>
                      <w:szCs w:val="21"/>
                    </w:rPr>
                    <w:t>8</w:t>
                  </w:r>
                </w:p>
              </w:tc>
            </w:tr>
          </w:tbl>
          <w:p>
            <w:pPr>
              <w:jc w:val="center"/>
              <w:rPr>
                <w:szCs w:val="21"/>
              </w:rPr>
            </w:pPr>
          </w:p>
          <w:tbl>
            <w:tblPr>
              <w:tblStyle w:val="3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236"/>
              <w:gridCol w:w="41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150" w:type="dxa"/>
                  <w:vAlign w:val="center"/>
                </w:tcPr>
                <w:p>
                  <w:pPr>
                    <w:pStyle w:val="2"/>
                    <w:ind w:firstLine="0"/>
                    <w:jc w:val="center"/>
                  </w:pPr>
                  <w:r>
                    <w:drawing>
                      <wp:inline distT="0" distB="0" distL="0" distR="0">
                        <wp:extent cx="2546985" cy="1630045"/>
                        <wp:effectExtent l="0" t="0" r="5715"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0"/>
                                <a:stretch>
                                  <a:fillRect/>
                                </a:stretch>
                              </pic:blipFill>
                              <pic:spPr>
                                <a:xfrm>
                                  <a:off x="0" y="0"/>
                                  <a:ext cx="2578635" cy="1650326"/>
                                </a:xfrm>
                                <a:prstGeom prst="rect">
                                  <a:avLst/>
                                </a:prstGeom>
                              </pic:spPr>
                            </pic:pic>
                          </a:graphicData>
                        </a:graphic>
                      </wp:inline>
                    </w:drawing>
                  </w:r>
                </w:p>
              </w:tc>
              <w:tc>
                <w:tcPr>
                  <w:tcW w:w="4151" w:type="dxa"/>
                  <w:vAlign w:val="center"/>
                </w:tcPr>
                <w:p>
                  <w:pPr>
                    <w:pStyle w:val="2"/>
                    <w:ind w:firstLine="0"/>
                    <w:jc w:val="center"/>
                  </w:pPr>
                  <w:r>
                    <w:drawing>
                      <wp:inline distT="0" distB="0" distL="0" distR="0">
                        <wp:extent cx="1089660" cy="17164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a:stretch>
                                  <a:fillRect/>
                                </a:stretch>
                              </pic:blipFill>
                              <pic:spPr>
                                <a:xfrm>
                                  <a:off x="0" y="0"/>
                                  <a:ext cx="1159185" cy="1825489"/>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150" w:type="dxa"/>
                  <w:vAlign w:val="center"/>
                </w:tcPr>
                <w:p>
                  <w:pPr>
                    <w:pStyle w:val="2"/>
                    <w:ind w:firstLine="0"/>
                    <w:jc w:val="center"/>
                    <w:rPr>
                      <w:b/>
                    </w:rPr>
                  </w:pPr>
                  <w:r>
                    <w:rPr>
                      <w:b/>
                    </w:rPr>
                    <w:t>横向标志</w:t>
                  </w:r>
                </w:p>
              </w:tc>
              <w:tc>
                <w:tcPr>
                  <w:tcW w:w="4151" w:type="dxa"/>
                  <w:vAlign w:val="center"/>
                </w:tcPr>
                <w:p>
                  <w:pPr>
                    <w:pStyle w:val="2"/>
                    <w:ind w:firstLine="0"/>
                    <w:jc w:val="center"/>
                    <w:rPr>
                      <w:b/>
                    </w:rPr>
                  </w:pPr>
                  <w:r>
                    <w:rPr>
                      <w:b/>
                    </w:rPr>
                    <w:t>竖向标志</w:t>
                  </w:r>
                </w:p>
              </w:tc>
            </w:tr>
          </w:tbl>
          <w:p>
            <w:pPr>
              <w:autoSpaceDE w:val="0"/>
              <w:adjustRightInd w:val="0"/>
              <w:snapToGrid w:val="0"/>
              <w:spacing w:line="360" w:lineRule="auto"/>
              <w:rPr>
                <w:b/>
                <w:sz w:val="24"/>
              </w:rPr>
            </w:pPr>
            <w:r>
              <w:rPr>
                <w:b/>
                <w:sz w:val="24"/>
              </w:rPr>
              <w:t>（</w:t>
            </w:r>
            <w:r>
              <w:rPr>
                <w:rFonts w:hint="eastAsia"/>
                <w:b/>
                <w:sz w:val="24"/>
              </w:rPr>
              <w:t>3）</w:t>
            </w:r>
            <w:r>
              <w:rPr>
                <w:b/>
                <w:sz w:val="24"/>
              </w:rPr>
              <w:t>险废物管理台账制定要求</w:t>
            </w:r>
          </w:p>
          <w:p>
            <w:pPr>
              <w:autoSpaceDE w:val="0"/>
              <w:adjustRightInd w:val="0"/>
              <w:snapToGrid w:val="0"/>
              <w:spacing w:line="360" w:lineRule="auto"/>
              <w:ind w:firstLine="480" w:firstLineChars="200"/>
              <w:rPr>
                <w:sz w:val="24"/>
              </w:rPr>
            </w:pPr>
            <w:r>
              <w:rPr>
                <w:sz w:val="24"/>
              </w:rPr>
              <w:t>环评要求建设单位按照《危险废物管理计划和台账指定技术导则》（HJ 1259-2022）相关要求</w:t>
            </w:r>
            <w:r>
              <w:rPr>
                <w:rFonts w:hint="eastAsia"/>
                <w:sz w:val="24"/>
              </w:rPr>
              <w:t>制定</w:t>
            </w:r>
            <w:r>
              <w:rPr>
                <w:sz w:val="24"/>
              </w:rPr>
              <w:t>运行期危险废物管理台账，具体如下：</w:t>
            </w:r>
          </w:p>
          <w:p>
            <w:pPr>
              <w:autoSpaceDE w:val="0"/>
              <w:adjustRightInd w:val="0"/>
              <w:snapToGrid w:val="0"/>
              <w:spacing w:line="360" w:lineRule="auto"/>
              <w:ind w:firstLine="481" w:firstLineChars="200"/>
              <w:rPr>
                <w:b/>
                <w:sz w:val="24"/>
              </w:rPr>
            </w:pPr>
            <w:r>
              <w:rPr>
                <w:rFonts w:hint="eastAsia" w:ascii="宋体" w:hAnsi="宋体"/>
                <w:b/>
                <w:sz w:val="24"/>
              </w:rPr>
              <w:t>①</w:t>
            </w:r>
            <w:r>
              <w:rPr>
                <w:b/>
                <w:sz w:val="24"/>
              </w:rPr>
              <w:t>制定原则</w:t>
            </w:r>
          </w:p>
          <w:p>
            <w:pPr>
              <w:autoSpaceDE w:val="0"/>
              <w:adjustRightInd w:val="0"/>
              <w:snapToGrid w:val="0"/>
              <w:spacing w:line="360" w:lineRule="auto"/>
              <w:ind w:firstLine="480" w:firstLineChars="200"/>
              <w:rPr>
                <w:sz w:val="24"/>
              </w:rPr>
            </w:pPr>
            <w:r>
              <w:rPr>
                <w:sz w:val="24"/>
              </w:rPr>
              <w:t>A、</w:t>
            </w:r>
            <w:r>
              <w:rPr>
                <w:rFonts w:hint="eastAsia"/>
                <w:sz w:val="24"/>
              </w:rPr>
              <w:t>建设</w:t>
            </w:r>
            <w:r>
              <w:rPr>
                <w:sz w:val="24"/>
              </w:rPr>
              <w:t>单位应建立危险废物管理台账，落实危险废物管理台账记录的责任人，明确工作职责，并对危险废物管理台账的真实性、准确性和完整性</w:t>
            </w:r>
            <w:r>
              <w:rPr>
                <w:rFonts w:hint="eastAsia"/>
                <w:sz w:val="24"/>
              </w:rPr>
              <w:t>负</w:t>
            </w:r>
            <w:r>
              <w:rPr>
                <w:sz w:val="24"/>
              </w:rPr>
              <w:t>法律责任。</w:t>
            </w:r>
          </w:p>
          <w:p>
            <w:pPr>
              <w:autoSpaceDE w:val="0"/>
              <w:adjustRightInd w:val="0"/>
              <w:snapToGrid w:val="0"/>
              <w:spacing w:line="360" w:lineRule="auto"/>
              <w:ind w:firstLine="480" w:firstLineChars="200"/>
              <w:rPr>
                <w:sz w:val="24"/>
              </w:rPr>
            </w:pPr>
            <w:r>
              <w:rPr>
                <w:sz w:val="24"/>
              </w:rPr>
              <w:t>B、</w:t>
            </w:r>
            <w:r>
              <w:rPr>
                <w:rFonts w:hint="eastAsia"/>
                <w:sz w:val="24"/>
              </w:rPr>
              <w:t>建设</w:t>
            </w:r>
            <w:r>
              <w:rPr>
                <w:sz w:val="24"/>
              </w:rPr>
              <w:t>单位应根据危险废物产生、贮存、利用、处置等环节的动态流向，如实建立各环节的危险废物管理台账，记录内容参见附录B。</w:t>
            </w:r>
          </w:p>
          <w:p>
            <w:pPr>
              <w:autoSpaceDE w:val="0"/>
              <w:adjustRightInd w:val="0"/>
              <w:snapToGrid w:val="0"/>
              <w:spacing w:line="360" w:lineRule="auto"/>
              <w:ind w:firstLine="480" w:firstLineChars="200"/>
              <w:rPr>
                <w:sz w:val="24"/>
              </w:rPr>
            </w:pPr>
            <w:r>
              <w:rPr>
                <w:sz w:val="24"/>
              </w:rPr>
              <w:t>C、危险废物管理台账分为电子管理台账和纸质管理台账两种形式。</w:t>
            </w:r>
            <w:r>
              <w:rPr>
                <w:rFonts w:hint="eastAsia"/>
                <w:sz w:val="24"/>
              </w:rPr>
              <w:t>建设</w:t>
            </w:r>
            <w:r>
              <w:rPr>
                <w:sz w:val="24"/>
              </w:rPr>
              <w:t>单位可通过国家危险废物信息管理系统、企业自建信息管理系统或第三方平台等方式记录电子管理台账。</w:t>
            </w:r>
          </w:p>
          <w:p>
            <w:pPr>
              <w:autoSpaceDE w:val="0"/>
              <w:adjustRightInd w:val="0"/>
              <w:snapToGrid w:val="0"/>
              <w:spacing w:line="360" w:lineRule="auto"/>
              <w:ind w:firstLine="481" w:firstLineChars="200"/>
              <w:rPr>
                <w:b/>
                <w:sz w:val="24"/>
              </w:rPr>
            </w:pPr>
            <w:r>
              <w:rPr>
                <w:rFonts w:hint="eastAsia" w:ascii="宋体" w:hAnsi="宋体"/>
                <w:b/>
                <w:sz w:val="24"/>
              </w:rPr>
              <w:t>②</w:t>
            </w:r>
            <w:r>
              <w:rPr>
                <w:b/>
                <w:sz w:val="24"/>
              </w:rPr>
              <w:t>频次要求</w:t>
            </w:r>
          </w:p>
          <w:p>
            <w:pPr>
              <w:autoSpaceDE w:val="0"/>
              <w:adjustRightInd w:val="0"/>
              <w:snapToGrid w:val="0"/>
              <w:spacing w:line="360" w:lineRule="auto"/>
              <w:ind w:firstLine="480" w:firstLineChars="200"/>
              <w:rPr>
                <w:sz w:val="24"/>
              </w:rPr>
            </w:pPr>
            <w:r>
              <w:rPr>
                <w:sz w:val="24"/>
              </w:rPr>
              <w:t>产生后盛放至容器和包装物的，应按每个容器和包装物进行记录；产生后采用管道等方式输送至贮存场所的，按日记录；其他特殊情形的，根据危险废物产生规律确定记录频次。</w:t>
            </w:r>
          </w:p>
          <w:p>
            <w:pPr>
              <w:autoSpaceDE w:val="0"/>
              <w:adjustRightInd w:val="0"/>
              <w:snapToGrid w:val="0"/>
              <w:spacing w:line="360" w:lineRule="auto"/>
              <w:ind w:firstLine="481" w:firstLineChars="200"/>
              <w:rPr>
                <w:b/>
                <w:sz w:val="24"/>
              </w:rPr>
            </w:pPr>
            <w:r>
              <w:rPr>
                <w:rFonts w:hint="eastAsia" w:ascii="宋体" w:hAnsi="宋体"/>
                <w:b/>
                <w:sz w:val="24"/>
              </w:rPr>
              <w:t>③</w:t>
            </w:r>
            <w:r>
              <w:rPr>
                <w:b/>
                <w:sz w:val="24"/>
              </w:rPr>
              <w:t>记录内容</w:t>
            </w:r>
          </w:p>
          <w:p>
            <w:pPr>
              <w:autoSpaceDE w:val="0"/>
              <w:adjustRightInd w:val="0"/>
              <w:snapToGrid w:val="0"/>
              <w:spacing w:line="360" w:lineRule="auto"/>
              <w:ind w:firstLine="480" w:firstLineChars="200"/>
              <w:rPr>
                <w:sz w:val="24"/>
              </w:rPr>
            </w:pPr>
            <w:r>
              <w:rPr>
                <w:sz w:val="24"/>
              </w:rPr>
              <w:t>A、危险废物产生环节，应记录产生批次编码、产生时间、危险废物名称、危险废物类别、危险废物代码、产生量、计量单位、容器/包装编码、容器/包装类型、容器/包装数量、产生危险废物设施编码、产生部门经办人、去向等。</w:t>
            </w:r>
          </w:p>
          <w:p>
            <w:pPr>
              <w:autoSpaceDE w:val="0"/>
              <w:adjustRightInd w:val="0"/>
              <w:snapToGrid w:val="0"/>
              <w:spacing w:line="360" w:lineRule="auto"/>
              <w:ind w:firstLine="480" w:firstLineChars="200"/>
              <w:rPr>
                <w:sz w:val="24"/>
              </w:rPr>
            </w:pPr>
            <w:r>
              <w:rPr>
                <w:sz w:val="24"/>
              </w:rPr>
              <w:t>B、危险废物入库环节，应记录入库批次编码、入库时间、容器/包装编码、容器/包装类型、容器/包装数量、危险废物名称、危险废物类别、危险废物代码、入库量、计量单位、贮存设施编码、贮存设施类型、运送部门经办人、贮存部门经办人、产生批次编码等。</w:t>
            </w:r>
          </w:p>
          <w:p>
            <w:pPr>
              <w:autoSpaceDE w:val="0"/>
              <w:adjustRightInd w:val="0"/>
              <w:snapToGrid w:val="0"/>
              <w:spacing w:line="360" w:lineRule="auto"/>
              <w:ind w:firstLine="480" w:firstLineChars="200"/>
              <w:rPr>
                <w:sz w:val="24"/>
              </w:rPr>
            </w:pPr>
            <w:r>
              <w:rPr>
                <w:sz w:val="24"/>
              </w:rPr>
              <w:t>C、危险废物出库环节，应记录出库批次编码、出库时间、容器/包装编码、容器/包装类型、容器1包装数量、危险废物名称、危险废物类别、危险废物代码、出库量、计量单位、贮存设施编码、贮存设施类型、出库部门经办人、运送部门经办人、入库批次编码、去向等。</w:t>
            </w:r>
          </w:p>
          <w:p>
            <w:pPr>
              <w:autoSpaceDE w:val="0"/>
              <w:adjustRightInd w:val="0"/>
              <w:snapToGrid w:val="0"/>
              <w:spacing w:line="360" w:lineRule="auto"/>
              <w:ind w:firstLine="480" w:firstLineChars="200"/>
              <w:rPr>
                <w:sz w:val="24"/>
              </w:rPr>
            </w:pPr>
            <w:r>
              <w:rPr>
                <w:sz w:val="24"/>
              </w:rPr>
              <w:t>D、危险废物自行利用/处置环节，应记录自行利用/处置批次编码、自行利用/处置时间、容器/包装编码、容器/包装类型、容器/包装数量、危险废物名称、危险废物类别、危险废物代码、自行利用/处置量、计量单位、自行利用/处置设施编码、自行利用/处置方式、自行利用/处置完毕时间、自行利用/处置部门经办人、产生批次编码/出库批次编码等。</w:t>
            </w:r>
          </w:p>
          <w:p>
            <w:pPr>
              <w:autoSpaceDE w:val="0"/>
              <w:adjustRightInd w:val="0"/>
              <w:snapToGrid w:val="0"/>
              <w:spacing w:line="360" w:lineRule="auto"/>
              <w:ind w:firstLine="480" w:firstLineChars="200"/>
              <w:rPr>
                <w:sz w:val="24"/>
              </w:rPr>
            </w:pPr>
            <w:r>
              <w:rPr>
                <w:sz w:val="24"/>
              </w:rPr>
              <w:t>E、危险废物委外利用/处置环节，应记录委外利用/处置批次编码、出厂时间、容器/包装编码、容器/包装类型、容器/包装数量、危险废物名称、危险废物类别、危险废物代码、委外利用/处置量、计量单位、利用/处置方式、接收单位类型、利用/处置单位名称、许可证编码/出口核准通知单编号、产生批次编码/出库批次编码等。</w:t>
            </w:r>
          </w:p>
          <w:p>
            <w:pPr>
              <w:autoSpaceDE w:val="0"/>
              <w:adjustRightInd w:val="0"/>
              <w:snapToGrid w:val="0"/>
              <w:spacing w:line="360" w:lineRule="auto"/>
              <w:ind w:firstLine="481" w:firstLineChars="200"/>
              <w:rPr>
                <w:b/>
                <w:sz w:val="24"/>
              </w:rPr>
            </w:pPr>
            <w:r>
              <w:rPr>
                <w:rFonts w:hint="eastAsia" w:ascii="宋体" w:hAnsi="宋体"/>
                <w:b/>
                <w:sz w:val="24"/>
              </w:rPr>
              <w:t>④</w:t>
            </w:r>
            <w:r>
              <w:rPr>
                <w:b/>
                <w:sz w:val="24"/>
              </w:rPr>
              <w:t>记录保存</w:t>
            </w:r>
          </w:p>
          <w:p>
            <w:pPr>
              <w:autoSpaceDE w:val="0"/>
              <w:adjustRightInd w:val="0"/>
              <w:snapToGrid w:val="0"/>
              <w:spacing w:line="360" w:lineRule="auto"/>
              <w:ind w:firstLine="480" w:firstLineChars="200"/>
              <w:rPr>
                <w:sz w:val="24"/>
              </w:rPr>
            </w:pPr>
            <w:r>
              <w:rPr>
                <w:sz w:val="24"/>
              </w:rPr>
              <w:t>保存时间原则上应存档5年以上。</w:t>
            </w:r>
          </w:p>
          <w:bookmarkEnd w:id="59"/>
          <w:p>
            <w:pPr>
              <w:spacing w:line="360" w:lineRule="auto"/>
              <w:rPr>
                <w:b/>
                <w:sz w:val="24"/>
              </w:rPr>
            </w:pPr>
            <w:r>
              <w:rPr>
                <w:b/>
                <w:sz w:val="24"/>
              </w:rPr>
              <w:t>5、</w:t>
            </w:r>
            <w:r>
              <w:rPr>
                <w:rFonts w:hint="eastAsia"/>
                <w:b/>
                <w:sz w:val="24"/>
              </w:rPr>
              <w:t>固体废物环境影响结论</w:t>
            </w:r>
          </w:p>
          <w:p>
            <w:pPr>
              <w:spacing w:line="360" w:lineRule="auto"/>
              <w:ind w:firstLine="480" w:firstLineChars="200"/>
              <w:rPr>
                <w:sz w:val="24"/>
              </w:rPr>
            </w:pPr>
            <w:r>
              <w:rPr>
                <w:rFonts w:hint="eastAsia"/>
                <w:sz w:val="24"/>
              </w:rPr>
              <w:t>本项目运行期只要按照环评要求完善运行期固体废物收集处置措施后，运行期固体废物收集处置率可达1</w:t>
            </w:r>
            <w:r>
              <w:rPr>
                <w:sz w:val="24"/>
              </w:rPr>
              <w:t>00%</w:t>
            </w:r>
            <w:r>
              <w:rPr>
                <w:rFonts w:hint="eastAsia"/>
                <w:sz w:val="24"/>
              </w:rPr>
              <w:t>；危废暂存间按照相关环保要求建设后危险废物收集处置场所符合环保要求，与相关资质单位签订危险废物处置协议后，危险废物处置去向明确。只要严格落实环评措施，项目运行期固体废物基本不会对区域环境造成影响。</w:t>
            </w:r>
          </w:p>
          <w:p>
            <w:pPr>
              <w:spacing w:line="360" w:lineRule="auto"/>
              <w:rPr>
                <w:rFonts w:ascii="黑体" w:hAnsi="黑体" w:eastAsia="黑体"/>
                <w:b/>
                <w:bCs/>
                <w:kern w:val="0"/>
                <w:sz w:val="24"/>
              </w:rPr>
            </w:pPr>
            <w:r>
              <w:rPr>
                <w:rFonts w:hint="eastAsia" w:ascii="黑体" w:hAnsi="黑体" w:eastAsia="黑体"/>
                <w:b/>
                <w:bCs/>
                <w:kern w:val="0"/>
                <w:sz w:val="24"/>
              </w:rPr>
              <w:t>（十）土壤、地下水污染防治措施</w:t>
            </w:r>
          </w:p>
          <w:p>
            <w:pPr>
              <w:spacing w:line="360" w:lineRule="auto"/>
              <w:ind w:firstLine="480" w:firstLineChars="200"/>
              <w:rPr>
                <w:sz w:val="24"/>
              </w:rPr>
            </w:pPr>
            <w:r>
              <w:rPr>
                <w:rFonts w:hint="eastAsia"/>
                <w:sz w:val="24"/>
              </w:rPr>
              <w:t>本项目主要土壤、地下水污染源为：危废暂存间，潜在污染物质主要为废矿物油（石油烃）。</w:t>
            </w:r>
          </w:p>
          <w:p>
            <w:pPr>
              <w:spacing w:line="360" w:lineRule="auto"/>
              <w:ind w:firstLine="480" w:firstLineChars="200"/>
              <w:rPr>
                <w:sz w:val="24"/>
              </w:rPr>
            </w:pPr>
            <w:r>
              <w:rPr>
                <w:rFonts w:hint="eastAsia"/>
                <w:sz w:val="24"/>
              </w:rPr>
              <w:t>根据《环境影响评价技术导则 地下水环境》（HJ</w:t>
            </w:r>
            <w:r>
              <w:rPr>
                <w:sz w:val="24"/>
              </w:rPr>
              <w:t xml:space="preserve"> 610-2016</w:t>
            </w:r>
            <w:r>
              <w:rPr>
                <w:rFonts w:hint="eastAsia"/>
                <w:sz w:val="24"/>
              </w:rPr>
              <w:t>），本项目属IV类项目，无需开站地下水环境影响评价；根据《环境影响评价技术导则 土壤环境（试行）》（HJ</w:t>
            </w:r>
            <w:r>
              <w:rPr>
                <w:sz w:val="24"/>
              </w:rPr>
              <w:t xml:space="preserve"> 964-2018</w:t>
            </w:r>
            <w:r>
              <w:rPr>
                <w:rFonts w:hint="eastAsia"/>
                <w:sz w:val="24"/>
              </w:rPr>
              <w:t>），本项目属IV类项目，占地类型为小型，敏感程度为不敏感，无需开展土壤环境影响评价工作。</w:t>
            </w:r>
          </w:p>
          <w:p>
            <w:pPr>
              <w:spacing w:line="360" w:lineRule="auto"/>
              <w:ind w:firstLine="480" w:firstLineChars="200"/>
              <w:rPr>
                <w:sz w:val="24"/>
              </w:rPr>
            </w:pPr>
            <w:r>
              <w:rPr>
                <w:rFonts w:hint="eastAsia"/>
                <w:sz w:val="24"/>
              </w:rPr>
              <w:t>针对项目存在的土壤、地下水污染途径，本次评价要求采取以下土壤、地下水污染防控措施：</w:t>
            </w:r>
          </w:p>
          <w:p>
            <w:pPr>
              <w:spacing w:line="360" w:lineRule="auto"/>
              <w:ind w:firstLine="480" w:firstLineChars="200"/>
              <w:rPr>
                <w:color w:val="0000FF"/>
                <w:sz w:val="24"/>
              </w:rPr>
            </w:pPr>
            <w:r>
              <w:rPr>
                <w:rFonts w:hint="eastAsia"/>
                <w:color w:val="0000FF"/>
                <w:sz w:val="24"/>
              </w:rPr>
              <w:t>围堰措施：危废暂存间内部设置砖砌围堰，围堰高度300mm，宽度100mm。</w:t>
            </w:r>
          </w:p>
          <w:p>
            <w:pPr>
              <w:spacing w:line="360" w:lineRule="auto"/>
              <w:ind w:firstLine="480" w:firstLineChars="200"/>
              <w:rPr>
                <w:color w:val="0000FF"/>
                <w:sz w:val="24"/>
              </w:rPr>
            </w:pPr>
            <w:r>
              <w:rPr>
                <w:rFonts w:hint="eastAsia"/>
                <w:color w:val="0000FF"/>
                <w:sz w:val="24"/>
              </w:rPr>
              <w:t>分区防渗措施：危废暂存间内部进行重点防渗处理，防渗系数要求达等效黏土防渗层Mb≥6.0m，K≤1×10</w:t>
            </w:r>
            <w:r>
              <w:rPr>
                <w:rFonts w:hint="eastAsia"/>
                <w:color w:val="0000FF"/>
                <w:sz w:val="24"/>
                <w:vertAlign w:val="superscript"/>
              </w:rPr>
              <w:t>-7</w:t>
            </w:r>
            <w:r>
              <w:rPr>
                <w:rFonts w:hint="eastAsia"/>
                <w:color w:val="0000FF"/>
                <w:sz w:val="24"/>
              </w:rPr>
              <w:t>cm/s，或参照GB18598执行，具体措施如下：</w:t>
            </w:r>
          </w:p>
          <w:p>
            <w:pPr>
              <w:spacing w:line="360" w:lineRule="auto"/>
              <w:ind w:firstLine="480" w:firstLineChars="200"/>
              <w:rPr>
                <w:color w:val="0000FF"/>
                <w:sz w:val="24"/>
              </w:rPr>
            </w:pPr>
            <w:r>
              <w:rPr>
                <w:rFonts w:hint="eastAsia"/>
                <w:color w:val="0000FF"/>
                <w:sz w:val="24"/>
              </w:rPr>
              <w:t>危废暂存间内部进行重点防渗处理，防渗系数要求达等效黏土防渗层Mb≥6.0m，K≤1×10</w:t>
            </w:r>
            <w:r>
              <w:rPr>
                <w:rFonts w:hint="eastAsia"/>
                <w:color w:val="0000FF"/>
                <w:sz w:val="24"/>
                <w:vertAlign w:val="superscript"/>
              </w:rPr>
              <w:t>-7</w:t>
            </w:r>
            <w:r>
              <w:rPr>
                <w:rFonts w:hint="eastAsia"/>
                <w:color w:val="0000FF"/>
                <w:sz w:val="24"/>
              </w:rPr>
              <w:t>cm/s，或参照GB18598执行，具体措施如下：</w:t>
            </w:r>
          </w:p>
          <w:p>
            <w:pPr>
              <w:spacing w:line="360" w:lineRule="auto"/>
              <w:ind w:firstLine="480" w:firstLineChars="200"/>
              <w:rPr>
                <w:color w:val="0000FF"/>
                <w:sz w:val="24"/>
              </w:rPr>
            </w:pPr>
            <w:r>
              <w:rPr>
                <w:rFonts w:hint="eastAsia"/>
                <w:color w:val="0000FF"/>
                <w:sz w:val="24"/>
              </w:rPr>
              <w:t>①底部重点防渗措施：</w:t>
            </w:r>
          </w:p>
          <w:p>
            <w:pPr>
              <w:spacing w:line="360" w:lineRule="auto"/>
              <w:ind w:firstLine="480" w:firstLineChars="200"/>
              <w:rPr>
                <w:color w:val="0000FF"/>
                <w:sz w:val="24"/>
              </w:rPr>
            </w:pPr>
            <w:r>
              <w:rPr>
                <w:rFonts w:hint="eastAsia"/>
                <w:color w:val="0000FF"/>
                <w:sz w:val="24"/>
              </w:rPr>
              <w:t>A、素土夯实，压缩系数不小于0.94；</w:t>
            </w:r>
          </w:p>
          <w:p>
            <w:pPr>
              <w:spacing w:line="360" w:lineRule="auto"/>
              <w:ind w:firstLine="480" w:firstLineChars="200"/>
              <w:rPr>
                <w:color w:val="0000FF"/>
                <w:sz w:val="24"/>
              </w:rPr>
            </w:pPr>
            <w:r>
              <w:rPr>
                <w:rFonts w:hint="eastAsia"/>
                <w:color w:val="0000FF"/>
                <w:sz w:val="24"/>
              </w:rPr>
              <w:t>B、100mm厚C15混凝土垫层一道；</w:t>
            </w:r>
          </w:p>
          <w:p>
            <w:pPr>
              <w:spacing w:line="360" w:lineRule="auto"/>
              <w:ind w:firstLine="480" w:firstLineChars="200"/>
              <w:rPr>
                <w:color w:val="0000FF"/>
                <w:sz w:val="24"/>
              </w:rPr>
            </w:pPr>
            <w:r>
              <w:rPr>
                <w:rFonts w:hint="eastAsia"/>
                <w:color w:val="0000FF"/>
                <w:sz w:val="24"/>
              </w:rPr>
              <w:t>C、20mm厚1:2防水砂浆找平；</w:t>
            </w:r>
          </w:p>
          <w:p>
            <w:pPr>
              <w:spacing w:line="360" w:lineRule="auto"/>
              <w:ind w:firstLine="480" w:firstLineChars="200"/>
              <w:rPr>
                <w:color w:val="0000FF"/>
                <w:sz w:val="24"/>
              </w:rPr>
            </w:pPr>
            <w:r>
              <w:rPr>
                <w:rFonts w:hint="eastAsia"/>
                <w:color w:val="0000FF"/>
                <w:sz w:val="24"/>
              </w:rPr>
              <w:t>D、100mm厚P8抗渗混凝土一道；</w:t>
            </w:r>
          </w:p>
          <w:p>
            <w:pPr>
              <w:spacing w:line="360" w:lineRule="auto"/>
              <w:ind w:firstLine="480" w:firstLineChars="200"/>
              <w:rPr>
                <w:color w:val="0000FF"/>
                <w:sz w:val="24"/>
              </w:rPr>
            </w:pPr>
            <w:r>
              <w:rPr>
                <w:rFonts w:hint="eastAsia"/>
                <w:color w:val="0000FF"/>
                <w:sz w:val="24"/>
              </w:rPr>
              <w:t>E、20mm厚1:2防水砂浆找平；</w:t>
            </w:r>
          </w:p>
          <w:p>
            <w:pPr>
              <w:spacing w:line="360" w:lineRule="auto"/>
              <w:ind w:firstLine="480" w:firstLineChars="200"/>
              <w:rPr>
                <w:color w:val="0000FF"/>
                <w:sz w:val="24"/>
              </w:rPr>
            </w:pPr>
            <w:r>
              <w:rPr>
                <w:rFonts w:hint="eastAsia"/>
                <w:color w:val="0000FF"/>
                <w:sz w:val="24"/>
              </w:rPr>
              <w:t>F、环氧树脂一道，厚度不小于2mm。</w:t>
            </w:r>
          </w:p>
          <w:p>
            <w:pPr>
              <w:spacing w:line="360" w:lineRule="auto"/>
              <w:ind w:firstLine="480" w:firstLineChars="200"/>
              <w:rPr>
                <w:color w:val="0000FF"/>
                <w:sz w:val="24"/>
              </w:rPr>
            </w:pPr>
            <w:r>
              <w:rPr>
                <w:rFonts w:hint="eastAsia"/>
                <w:color w:val="0000FF"/>
                <w:sz w:val="24"/>
              </w:rPr>
              <w:t>②围堰内壁防渗措施：</w:t>
            </w:r>
          </w:p>
          <w:p>
            <w:pPr>
              <w:spacing w:line="360" w:lineRule="auto"/>
              <w:ind w:firstLine="480" w:firstLineChars="200"/>
              <w:rPr>
                <w:color w:val="0000FF"/>
                <w:sz w:val="24"/>
              </w:rPr>
            </w:pPr>
            <w:r>
              <w:rPr>
                <w:rFonts w:hint="eastAsia"/>
                <w:color w:val="0000FF"/>
                <w:sz w:val="24"/>
              </w:rPr>
              <w:t>A、50mm厚P8抗渗混凝土保护层1道；</w:t>
            </w:r>
          </w:p>
          <w:p>
            <w:pPr>
              <w:spacing w:line="360" w:lineRule="auto"/>
              <w:ind w:firstLine="480" w:firstLineChars="200"/>
              <w:rPr>
                <w:color w:val="0000FF"/>
                <w:sz w:val="24"/>
              </w:rPr>
            </w:pPr>
            <w:r>
              <w:rPr>
                <w:rFonts w:hint="eastAsia"/>
                <w:color w:val="0000FF"/>
                <w:sz w:val="24"/>
              </w:rPr>
              <w:t>B、20mm厚1:2防水砂浆找平；</w:t>
            </w:r>
          </w:p>
          <w:p>
            <w:pPr>
              <w:spacing w:line="360" w:lineRule="auto"/>
              <w:ind w:firstLine="480" w:firstLineChars="200"/>
              <w:rPr>
                <w:color w:val="0000FF"/>
                <w:sz w:val="24"/>
              </w:rPr>
            </w:pPr>
            <w:r>
              <w:rPr>
                <w:rFonts w:hint="eastAsia"/>
                <w:color w:val="0000FF"/>
                <w:sz w:val="24"/>
              </w:rPr>
              <w:t>C、环氧树脂一道，厚度不小于2mm。</w:t>
            </w:r>
          </w:p>
          <w:bookmarkEnd w:id="55"/>
          <w:p>
            <w:pPr>
              <w:spacing w:line="360" w:lineRule="auto"/>
              <w:rPr>
                <w:rFonts w:ascii="黑体" w:hAnsi="黑体" w:eastAsia="黑体"/>
                <w:b/>
                <w:bCs/>
                <w:kern w:val="0"/>
                <w:sz w:val="24"/>
              </w:rPr>
            </w:pPr>
            <w:r>
              <w:rPr>
                <w:rFonts w:hint="eastAsia" w:ascii="黑体" w:hAnsi="黑体" w:eastAsia="黑体"/>
                <w:b/>
                <w:bCs/>
                <w:kern w:val="0"/>
                <w:sz w:val="24"/>
              </w:rPr>
              <w:t>（十一）环境风险</w:t>
            </w:r>
          </w:p>
          <w:p>
            <w:pPr>
              <w:pStyle w:val="41"/>
              <w:spacing w:line="360" w:lineRule="auto"/>
              <w:rPr>
                <w:rFonts w:ascii="Times New Roman" w:hAnsi="Times New Roman" w:cs="Times New Roman"/>
                <w:b/>
                <w:bCs/>
                <w:color w:val="auto"/>
              </w:rPr>
            </w:pPr>
            <w:r>
              <w:rPr>
                <w:rFonts w:hint="eastAsia" w:ascii="Times New Roman" w:hAnsi="Times New Roman" w:cs="Times New Roman"/>
                <w:b/>
                <w:bCs/>
                <w:color w:val="auto"/>
              </w:rPr>
              <w:t>1、环境风险识别</w:t>
            </w:r>
          </w:p>
          <w:p>
            <w:pPr>
              <w:spacing w:line="360" w:lineRule="auto"/>
              <w:ind w:firstLine="480" w:firstLineChars="200"/>
              <w:rPr>
                <w:sz w:val="24"/>
              </w:rPr>
            </w:pPr>
            <w:r>
              <w:rPr>
                <w:rFonts w:hint="eastAsia"/>
                <w:sz w:val="24"/>
              </w:rPr>
              <w:t>根据《建设项目环境影响报告表编制技术指南（污染影响类）（试行）》，本次评价对项目涉及的有毒有害和易燃易爆等危险物质和风险源分布进行识别。风险识别的范围包括风险物质识别、运营设施风险识别、储运系统风险识别、外部风险源识别，运输环节风险评价不在本次评价范围内。</w:t>
            </w:r>
          </w:p>
          <w:p>
            <w:pPr>
              <w:jc w:val="center"/>
              <w:rPr>
                <w:b/>
                <w:bCs/>
                <w:sz w:val="24"/>
              </w:rPr>
            </w:pPr>
            <w:r>
              <w:rPr>
                <w:b/>
                <w:bCs/>
                <w:sz w:val="24"/>
              </w:rPr>
              <w:t>表4.11-1  环境风险源辨识一览表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1876"/>
              <w:gridCol w:w="2446"/>
              <w:gridCol w:w="3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574" w:type="pct"/>
                  <w:gridSpan w:val="2"/>
                  <w:vAlign w:val="center"/>
                </w:tcPr>
                <w:p>
                  <w:pPr>
                    <w:jc w:val="center"/>
                    <w:rPr>
                      <w:b/>
                      <w:bCs/>
                      <w:szCs w:val="21"/>
                      <w:lang w:val="zh-CN"/>
                    </w:rPr>
                  </w:pPr>
                  <w:r>
                    <w:rPr>
                      <w:b/>
                      <w:bCs/>
                      <w:szCs w:val="21"/>
                      <w:lang w:val="zh-CN"/>
                    </w:rPr>
                    <w:t>风险源识别</w:t>
                  </w:r>
                </w:p>
              </w:tc>
              <w:tc>
                <w:tcPr>
                  <w:tcW w:w="1443" w:type="pct"/>
                  <w:vAlign w:val="center"/>
                </w:tcPr>
                <w:p>
                  <w:pPr>
                    <w:jc w:val="center"/>
                    <w:rPr>
                      <w:b/>
                      <w:bCs/>
                      <w:szCs w:val="21"/>
                      <w:lang w:val="zh-CN"/>
                    </w:rPr>
                  </w:pPr>
                  <w:r>
                    <w:rPr>
                      <w:b/>
                      <w:bCs/>
                      <w:szCs w:val="21"/>
                      <w:lang w:val="zh-CN"/>
                    </w:rPr>
                    <w:t>辨识内容</w:t>
                  </w:r>
                </w:p>
              </w:tc>
              <w:tc>
                <w:tcPr>
                  <w:tcW w:w="1983" w:type="pct"/>
                  <w:vAlign w:val="center"/>
                </w:tcPr>
                <w:p>
                  <w:pPr>
                    <w:jc w:val="center"/>
                    <w:rPr>
                      <w:b/>
                      <w:bCs/>
                      <w:szCs w:val="21"/>
                      <w:lang w:val="zh-CN"/>
                    </w:rPr>
                  </w:pPr>
                  <w:r>
                    <w:rPr>
                      <w:b/>
                      <w:bCs/>
                      <w:szCs w:val="21"/>
                      <w:lang w:val="zh-CN"/>
                    </w:rPr>
                    <w:t>辨识依据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7" w:hRule="atLeast"/>
                <w:jc w:val="center"/>
              </w:trPr>
              <w:tc>
                <w:tcPr>
                  <w:tcW w:w="467" w:type="pct"/>
                  <w:vMerge w:val="restart"/>
                  <w:vAlign w:val="center"/>
                </w:tcPr>
                <w:p>
                  <w:pPr>
                    <w:jc w:val="center"/>
                    <w:rPr>
                      <w:szCs w:val="21"/>
                      <w:lang w:val="zh-CN"/>
                    </w:rPr>
                  </w:pPr>
                  <w:r>
                    <w:rPr>
                      <w:szCs w:val="21"/>
                      <w:lang w:val="zh-CN"/>
                    </w:rPr>
                    <w:t>风险物质</w:t>
                  </w:r>
                </w:p>
              </w:tc>
              <w:tc>
                <w:tcPr>
                  <w:tcW w:w="1107" w:type="pct"/>
                  <w:vAlign w:val="center"/>
                </w:tcPr>
                <w:p>
                  <w:pPr>
                    <w:jc w:val="center"/>
                    <w:rPr>
                      <w:szCs w:val="21"/>
                      <w:lang w:val="zh-CN"/>
                    </w:rPr>
                  </w:pPr>
                  <w:r>
                    <w:rPr>
                      <w:szCs w:val="21"/>
                      <w:lang w:val="zh-CN"/>
                    </w:rPr>
                    <w:t>危险化学品</w:t>
                  </w:r>
                </w:p>
              </w:tc>
              <w:tc>
                <w:tcPr>
                  <w:tcW w:w="1443" w:type="pct"/>
                  <w:vMerge w:val="restart"/>
                  <w:vAlign w:val="center"/>
                </w:tcPr>
                <w:p>
                  <w:pPr>
                    <w:jc w:val="center"/>
                    <w:rPr>
                      <w:szCs w:val="21"/>
                      <w:lang w:val="zh-CN"/>
                    </w:rPr>
                  </w:pPr>
                  <w:r>
                    <w:rPr>
                      <w:szCs w:val="21"/>
                      <w:lang w:val="zh-CN"/>
                    </w:rPr>
                    <w:t>主要针对生产过程中使用的各类风险物质名称及使用量、贮存量进行统计分析；对厂区排放污染物的种类、产生量以及治理工艺进行分析</w:t>
                  </w:r>
                </w:p>
              </w:tc>
              <w:tc>
                <w:tcPr>
                  <w:tcW w:w="1983" w:type="pct"/>
                  <w:vMerge w:val="restart"/>
                  <w:vAlign w:val="center"/>
                </w:tcPr>
                <w:p>
                  <w:pPr>
                    <w:jc w:val="center"/>
                    <w:rPr>
                      <w:szCs w:val="21"/>
                    </w:rPr>
                  </w:pPr>
                  <w:r>
                    <w:rPr>
                      <w:rFonts w:hint="eastAsia"/>
                    </w:rPr>
                    <w:t>《建设项目环境风险评价技术导则》（H169-2018）附录B中表B.1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467" w:type="pct"/>
                  <w:vMerge w:val="continue"/>
                  <w:vAlign w:val="center"/>
                </w:tcPr>
                <w:p>
                  <w:pPr>
                    <w:jc w:val="center"/>
                    <w:rPr>
                      <w:szCs w:val="21"/>
                      <w:lang w:val="zh-CN"/>
                    </w:rPr>
                  </w:pPr>
                </w:p>
              </w:tc>
              <w:tc>
                <w:tcPr>
                  <w:tcW w:w="1107" w:type="pct"/>
                  <w:vAlign w:val="center"/>
                </w:tcPr>
                <w:p>
                  <w:pPr>
                    <w:jc w:val="center"/>
                    <w:rPr>
                      <w:szCs w:val="21"/>
                      <w:lang w:val="zh-CN"/>
                    </w:rPr>
                  </w:pPr>
                  <w:r>
                    <w:rPr>
                      <w:szCs w:val="21"/>
                      <w:lang w:val="zh-CN"/>
                    </w:rPr>
                    <w:t>危险废物</w:t>
                  </w:r>
                </w:p>
              </w:tc>
              <w:tc>
                <w:tcPr>
                  <w:tcW w:w="1443" w:type="pct"/>
                  <w:vMerge w:val="continue"/>
                  <w:vAlign w:val="center"/>
                </w:tcPr>
                <w:p>
                  <w:pPr>
                    <w:jc w:val="center"/>
                    <w:rPr>
                      <w:szCs w:val="21"/>
                      <w:lang w:val="zh-CN"/>
                    </w:rPr>
                  </w:pPr>
                </w:p>
              </w:tc>
              <w:tc>
                <w:tcPr>
                  <w:tcW w:w="1983"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8" w:hRule="atLeast"/>
                <w:jc w:val="center"/>
              </w:trPr>
              <w:tc>
                <w:tcPr>
                  <w:tcW w:w="467" w:type="pct"/>
                  <w:vMerge w:val="continue"/>
                  <w:vAlign w:val="center"/>
                </w:tcPr>
                <w:p>
                  <w:pPr>
                    <w:jc w:val="center"/>
                    <w:rPr>
                      <w:szCs w:val="21"/>
                      <w:lang w:val="zh-CN"/>
                    </w:rPr>
                  </w:pPr>
                </w:p>
              </w:tc>
              <w:tc>
                <w:tcPr>
                  <w:tcW w:w="1107" w:type="pct"/>
                  <w:vAlign w:val="center"/>
                </w:tcPr>
                <w:p>
                  <w:pPr>
                    <w:jc w:val="center"/>
                    <w:rPr>
                      <w:szCs w:val="21"/>
                      <w:lang w:val="zh-CN"/>
                    </w:rPr>
                  </w:pPr>
                  <w:r>
                    <w:rPr>
                      <w:szCs w:val="21"/>
                      <w:lang w:val="zh-CN"/>
                    </w:rPr>
                    <w:t>其他化学品</w:t>
                  </w:r>
                </w:p>
              </w:tc>
              <w:tc>
                <w:tcPr>
                  <w:tcW w:w="1443" w:type="pct"/>
                  <w:vMerge w:val="continue"/>
                  <w:vAlign w:val="center"/>
                </w:tcPr>
                <w:p>
                  <w:pPr>
                    <w:jc w:val="center"/>
                    <w:rPr>
                      <w:szCs w:val="21"/>
                      <w:lang w:val="zh-CN"/>
                    </w:rPr>
                  </w:pPr>
                </w:p>
              </w:tc>
              <w:tc>
                <w:tcPr>
                  <w:tcW w:w="1983"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pct"/>
                  <w:vMerge w:val="continue"/>
                  <w:vAlign w:val="center"/>
                </w:tcPr>
                <w:p>
                  <w:pPr>
                    <w:jc w:val="center"/>
                    <w:rPr>
                      <w:szCs w:val="21"/>
                      <w:lang w:val="zh-CN"/>
                    </w:rPr>
                  </w:pPr>
                </w:p>
              </w:tc>
              <w:tc>
                <w:tcPr>
                  <w:tcW w:w="1107" w:type="pct"/>
                  <w:vAlign w:val="center"/>
                </w:tcPr>
                <w:p>
                  <w:pPr>
                    <w:jc w:val="center"/>
                    <w:rPr>
                      <w:szCs w:val="21"/>
                      <w:lang w:val="zh-CN"/>
                    </w:rPr>
                  </w:pPr>
                  <w:r>
                    <w:rPr>
                      <w:szCs w:val="21"/>
                      <w:lang w:val="zh-CN"/>
                    </w:rPr>
                    <w:t>“三废”污染物</w:t>
                  </w:r>
                </w:p>
              </w:tc>
              <w:tc>
                <w:tcPr>
                  <w:tcW w:w="1443" w:type="pct"/>
                  <w:vMerge w:val="continue"/>
                  <w:vAlign w:val="center"/>
                </w:tcPr>
                <w:p>
                  <w:pPr>
                    <w:jc w:val="center"/>
                    <w:rPr>
                      <w:szCs w:val="21"/>
                      <w:lang w:val="zh-CN"/>
                    </w:rPr>
                  </w:pPr>
                </w:p>
              </w:tc>
              <w:tc>
                <w:tcPr>
                  <w:tcW w:w="1983"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467" w:type="pct"/>
                  <w:vMerge w:val="restart"/>
                  <w:vAlign w:val="center"/>
                </w:tcPr>
                <w:p>
                  <w:pPr>
                    <w:jc w:val="center"/>
                    <w:rPr>
                      <w:szCs w:val="21"/>
                      <w:lang w:val="zh-CN"/>
                    </w:rPr>
                  </w:pPr>
                  <w:r>
                    <w:rPr>
                      <w:szCs w:val="21"/>
                      <w:lang w:val="zh-CN"/>
                    </w:rPr>
                    <w:t>运营设施风险</w:t>
                  </w:r>
                </w:p>
              </w:tc>
              <w:tc>
                <w:tcPr>
                  <w:tcW w:w="1107" w:type="pct"/>
                  <w:vAlign w:val="center"/>
                </w:tcPr>
                <w:p>
                  <w:pPr>
                    <w:jc w:val="center"/>
                    <w:rPr>
                      <w:szCs w:val="21"/>
                      <w:lang w:val="zh-CN"/>
                    </w:rPr>
                  </w:pPr>
                  <w:r>
                    <w:rPr>
                      <w:szCs w:val="21"/>
                      <w:lang w:val="zh-CN"/>
                    </w:rPr>
                    <w:t>生产工艺</w:t>
                  </w:r>
                </w:p>
              </w:tc>
              <w:tc>
                <w:tcPr>
                  <w:tcW w:w="1443" w:type="pct"/>
                  <w:vMerge w:val="restart"/>
                  <w:vAlign w:val="center"/>
                </w:tcPr>
                <w:p>
                  <w:pPr>
                    <w:jc w:val="center"/>
                    <w:rPr>
                      <w:szCs w:val="21"/>
                      <w:lang w:val="zh-CN"/>
                    </w:rPr>
                  </w:pPr>
                  <w:r>
                    <w:rPr>
                      <w:szCs w:val="21"/>
                      <w:lang w:val="zh-CN"/>
                    </w:rPr>
                    <w:t>重点对生产工艺流程的各阶段进行研究，分析哪些设备、设施可能成为环境风险源</w:t>
                  </w:r>
                </w:p>
              </w:tc>
              <w:tc>
                <w:tcPr>
                  <w:tcW w:w="1983" w:type="pct"/>
                  <w:vMerge w:val="restart"/>
                  <w:vAlign w:val="center"/>
                </w:tcPr>
                <w:p>
                  <w:pPr>
                    <w:jc w:val="center"/>
                    <w:rPr>
                      <w:szCs w:val="21"/>
                    </w:rPr>
                  </w:pPr>
                  <w:r>
                    <w:rPr>
                      <w:szCs w:val="21"/>
                    </w:rPr>
                    <w:t>《关于开展重大危险源监督管理工作的指导意见》、《企业突发环境事件风险评估指南（试行）》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pct"/>
                  <w:vMerge w:val="continue"/>
                  <w:vAlign w:val="center"/>
                </w:tcPr>
                <w:p>
                  <w:pPr>
                    <w:jc w:val="center"/>
                    <w:rPr>
                      <w:szCs w:val="21"/>
                    </w:rPr>
                  </w:pPr>
                </w:p>
              </w:tc>
              <w:tc>
                <w:tcPr>
                  <w:tcW w:w="1107" w:type="pct"/>
                  <w:vAlign w:val="center"/>
                </w:tcPr>
                <w:p>
                  <w:pPr>
                    <w:jc w:val="center"/>
                    <w:rPr>
                      <w:szCs w:val="21"/>
                      <w:lang w:val="zh-CN"/>
                    </w:rPr>
                  </w:pPr>
                  <w:r>
                    <w:rPr>
                      <w:szCs w:val="21"/>
                      <w:lang w:val="zh-CN"/>
                    </w:rPr>
                    <w:t>生产设施</w:t>
                  </w:r>
                </w:p>
              </w:tc>
              <w:tc>
                <w:tcPr>
                  <w:tcW w:w="1443" w:type="pct"/>
                  <w:vMerge w:val="continue"/>
                  <w:vAlign w:val="center"/>
                </w:tcPr>
                <w:p>
                  <w:pPr>
                    <w:jc w:val="center"/>
                    <w:rPr>
                      <w:szCs w:val="21"/>
                      <w:lang w:val="zh-CN"/>
                    </w:rPr>
                  </w:pPr>
                </w:p>
              </w:tc>
              <w:tc>
                <w:tcPr>
                  <w:tcW w:w="1983"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467" w:type="pct"/>
                  <w:vMerge w:val="continue"/>
                  <w:vAlign w:val="center"/>
                </w:tcPr>
                <w:p>
                  <w:pPr>
                    <w:jc w:val="center"/>
                    <w:rPr>
                      <w:szCs w:val="21"/>
                    </w:rPr>
                  </w:pPr>
                </w:p>
              </w:tc>
              <w:tc>
                <w:tcPr>
                  <w:tcW w:w="1107" w:type="pct"/>
                  <w:vAlign w:val="center"/>
                </w:tcPr>
                <w:p>
                  <w:pPr>
                    <w:jc w:val="center"/>
                    <w:rPr>
                      <w:szCs w:val="21"/>
                      <w:lang w:val="zh-CN"/>
                    </w:rPr>
                  </w:pPr>
                  <w:r>
                    <w:rPr>
                      <w:szCs w:val="21"/>
                      <w:lang w:val="zh-CN"/>
                    </w:rPr>
                    <w:t>环保设施</w:t>
                  </w:r>
                </w:p>
              </w:tc>
              <w:tc>
                <w:tcPr>
                  <w:tcW w:w="1443" w:type="pct"/>
                  <w:vMerge w:val="continue"/>
                  <w:vAlign w:val="center"/>
                </w:tcPr>
                <w:p>
                  <w:pPr>
                    <w:jc w:val="center"/>
                    <w:rPr>
                      <w:szCs w:val="21"/>
                      <w:lang w:val="zh-CN"/>
                    </w:rPr>
                  </w:pPr>
                </w:p>
              </w:tc>
              <w:tc>
                <w:tcPr>
                  <w:tcW w:w="1983"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pct"/>
                  <w:vAlign w:val="center"/>
                </w:tcPr>
                <w:p>
                  <w:pPr>
                    <w:jc w:val="center"/>
                    <w:rPr>
                      <w:szCs w:val="21"/>
                      <w:lang w:val="zh-CN"/>
                    </w:rPr>
                  </w:pPr>
                  <w:r>
                    <w:rPr>
                      <w:szCs w:val="21"/>
                      <w:lang w:val="zh-CN"/>
                    </w:rPr>
                    <w:t>储运系统</w:t>
                  </w:r>
                </w:p>
              </w:tc>
              <w:tc>
                <w:tcPr>
                  <w:tcW w:w="1107" w:type="pct"/>
                  <w:vAlign w:val="center"/>
                </w:tcPr>
                <w:p>
                  <w:pPr>
                    <w:jc w:val="center"/>
                    <w:rPr>
                      <w:szCs w:val="21"/>
                      <w:lang w:val="zh-CN"/>
                    </w:rPr>
                  </w:pPr>
                  <w:r>
                    <w:rPr>
                      <w:szCs w:val="21"/>
                      <w:lang w:val="zh-CN"/>
                    </w:rPr>
                    <w:t>风险物质运输储存</w:t>
                  </w:r>
                </w:p>
              </w:tc>
              <w:tc>
                <w:tcPr>
                  <w:tcW w:w="1443" w:type="pct"/>
                  <w:vAlign w:val="center"/>
                </w:tcPr>
                <w:p>
                  <w:pPr>
                    <w:jc w:val="center"/>
                    <w:rPr>
                      <w:szCs w:val="21"/>
                      <w:lang w:val="zh-CN"/>
                    </w:rPr>
                  </w:pPr>
                  <w:r>
                    <w:rPr>
                      <w:szCs w:val="21"/>
                      <w:lang w:val="zh-CN"/>
                    </w:rPr>
                    <w:t>对运输、装卸、储存情况进行调查</w:t>
                  </w:r>
                </w:p>
              </w:tc>
              <w:tc>
                <w:tcPr>
                  <w:tcW w:w="1983" w:type="pct"/>
                  <w:vAlign w:val="center"/>
                </w:tcPr>
                <w:p>
                  <w:pPr>
                    <w:jc w:val="center"/>
                    <w:rPr>
                      <w:szCs w:val="21"/>
                    </w:rPr>
                  </w:pPr>
                  <w:r>
                    <w:rPr>
                      <w:szCs w:val="21"/>
                    </w:rPr>
                    <w:t>《危险化学品安全管理条例》（国务院令第591号）、《危险废物收集、贮存、运输技术规范》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1574" w:type="pct"/>
                  <w:gridSpan w:val="2"/>
                  <w:vAlign w:val="center"/>
                </w:tcPr>
                <w:p>
                  <w:pPr>
                    <w:jc w:val="center"/>
                    <w:rPr>
                      <w:szCs w:val="21"/>
                      <w:lang w:val="zh-CN"/>
                    </w:rPr>
                  </w:pPr>
                  <w:r>
                    <w:rPr>
                      <w:szCs w:val="21"/>
                      <w:lang w:val="zh-CN"/>
                    </w:rPr>
                    <w:t>外部风险源</w:t>
                  </w:r>
                </w:p>
              </w:tc>
              <w:tc>
                <w:tcPr>
                  <w:tcW w:w="1443" w:type="pct"/>
                  <w:vAlign w:val="center"/>
                </w:tcPr>
                <w:p>
                  <w:pPr>
                    <w:jc w:val="center"/>
                    <w:rPr>
                      <w:szCs w:val="21"/>
                      <w:lang w:val="zh-CN"/>
                    </w:rPr>
                  </w:pPr>
                  <w:r>
                    <w:rPr>
                      <w:szCs w:val="21"/>
                      <w:lang w:val="zh-CN"/>
                    </w:rPr>
                    <w:t>对外源性环境风险源进行调查</w:t>
                  </w:r>
                </w:p>
              </w:tc>
              <w:tc>
                <w:tcPr>
                  <w:tcW w:w="1983" w:type="pct"/>
                  <w:vAlign w:val="center"/>
                </w:tcPr>
                <w:p>
                  <w:pPr>
                    <w:jc w:val="center"/>
                    <w:rPr>
                      <w:szCs w:val="21"/>
                    </w:rPr>
                  </w:pPr>
                  <w:r>
                    <w:rPr>
                      <w:szCs w:val="21"/>
                    </w:rPr>
                    <w:t>企业周边环境现状</w:t>
                  </w:r>
                </w:p>
              </w:tc>
            </w:tr>
          </w:tbl>
          <w:p>
            <w:pPr>
              <w:pStyle w:val="41"/>
              <w:spacing w:line="360" w:lineRule="auto"/>
              <w:ind w:firstLine="481" w:firstLineChars="200"/>
              <w:jc w:val="both"/>
              <w:rPr>
                <w:rFonts w:ascii="Times New Roman" w:hAnsi="Times New Roman" w:cs="Times New Roman"/>
                <w:b/>
                <w:bCs/>
                <w:color w:val="auto"/>
              </w:rPr>
            </w:pPr>
            <w:r>
              <w:rPr>
                <w:rFonts w:hint="eastAsia" w:ascii="Times New Roman" w:hAnsi="Times New Roman" w:cs="Times New Roman"/>
                <w:b/>
                <w:bCs/>
                <w:color w:val="auto"/>
              </w:rPr>
              <w:t>（1）风险物质识别</w:t>
            </w:r>
          </w:p>
          <w:p>
            <w:pPr>
              <w:pStyle w:val="41"/>
              <w:spacing w:line="360" w:lineRule="auto"/>
              <w:ind w:firstLine="480" w:firstLineChars="200"/>
              <w:jc w:val="both"/>
              <w:rPr>
                <w:rFonts w:ascii="Times New Roman" w:hAnsi="Times New Roman" w:cs="Times New Roman"/>
                <w:color w:val="auto"/>
                <w:kern w:val="24"/>
                <w:szCs w:val="32"/>
              </w:rPr>
            </w:pPr>
            <w:r>
              <w:rPr>
                <w:rFonts w:ascii="Times New Roman" w:hAnsi="Times New Roman" w:cs="Times New Roman"/>
                <w:color w:val="auto"/>
              </w:rPr>
              <w:t>物质风险识别包括：主要原辅材料、燃料、中间产品、最终产品以及运营过程排放的“三废”污染物等。根据《建设项目环境风险评价技术导则》（H169-2018）附录B中表B.1，参考《企业突发环境事件风险分级方法》（HJ941-2018）等相关法律法规，识别出本项目涉及的环境风险物质为废润滑油。</w:t>
            </w:r>
            <w:r>
              <w:rPr>
                <w:rFonts w:ascii="Times New Roman" w:hAnsi="Times New Roman" w:cs="Times New Roman"/>
                <w:color w:val="auto"/>
                <w:kern w:val="24"/>
                <w:szCs w:val="32"/>
              </w:rPr>
              <w:t>根据《建设项目环境风险评价技术导则》（HJ 169-2018）附录B中对应临界量的比值Q。当只涉及一种危险物质时，计算该物质的总量与其临界量比值，即为Q；当存在多种危险物质时，则按下式计算物质总量与其临界量比值（Q）：</w:t>
            </w:r>
          </w:p>
          <w:p>
            <w:pPr>
              <w:jc w:val="center"/>
              <w:rPr>
                <w:kern w:val="24"/>
                <w:sz w:val="24"/>
                <w:szCs w:val="32"/>
              </w:rPr>
            </w:pPr>
            <w:r>
              <w:rPr>
                <w:kern w:val="24"/>
                <w:sz w:val="24"/>
                <w:szCs w:val="32"/>
              </w:rPr>
              <w:drawing>
                <wp:inline distT="0" distB="0" distL="0" distR="0">
                  <wp:extent cx="1880235" cy="426720"/>
                  <wp:effectExtent l="0" t="0" r="5715" b="11430"/>
                  <wp:docPr id="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0.jpeg"/>
                          <pic:cNvPicPr>
                            <a:picLocks noChangeAspect="1"/>
                          </pic:cNvPicPr>
                        </pic:nvPicPr>
                        <pic:blipFill>
                          <a:blip r:embed="rId22" cstate="print"/>
                          <a:stretch>
                            <a:fillRect/>
                          </a:stretch>
                        </pic:blipFill>
                        <pic:spPr>
                          <a:xfrm>
                            <a:off x="0" y="0"/>
                            <a:ext cx="1880235" cy="426720"/>
                          </a:xfrm>
                          <a:prstGeom prst="rect">
                            <a:avLst/>
                          </a:prstGeom>
                        </pic:spPr>
                      </pic:pic>
                    </a:graphicData>
                  </a:graphic>
                </wp:inline>
              </w:drawing>
            </w:r>
          </w:p>
          <w:p>
            <w:pPr>
              <w:spacing w:line="360" w:lineRule="auto"/>
              <w:ind w:firstLine="480" w:firstLineChars="200"/>
              <w:jc w:val="left"/>
              <w:rPr>
                <w:kern w:val="24"/>
                <w:sz w:val="24"/>
                <w:szCs w:val="32"/>
              </w:rPr>
            </w:pPr>
            <w:r>
              <w:rPr>
                <w:kern w:val="24"/>
                <w:sz w:val="24"/>
                <w:szCs w:val="32"/>
              </w:rPr>
              <w:t>式中：Q</w:t>
            </w:r>
            <w:r>
              <w:rPr>
                <w:kern w:val="24"/>
                <w:sz w:val="24"/>
                <w:szCs w:val="32"/>
                <w:vertAlign w:val="subscript"/>
              </w:rPr>
              <w:t>1</w:t>
            </w:r>
            <w:r>
              <w:rPr>
                <w:kern w:val="24"/>
                <w:sz w:val="24"/>
                <w:szCs w:val="32"/>
              </w:rPr>
              <w:t>、Q</w:t>
            </w:r>
            <w:r>
              <w:rPr>
                <w:kern w:val="24"/>
                <w:sz w:val="24"/>
                <w:szCs w:val="32"/>
                <w:vertAlign w:val="subscript"/>
              </w:rPr>
              <w:t>2</w:t>
            </w:r>
            <w:r>
              <w:rPr>
                <w:kern w:val="24"/>
                <w:sz w:val="24"/>
                <w:szCs w:val="32"/>
              </w:rPr>
              <w:t>、...Q</w:t>
            </w:r>
            <w:r>
              <w:rPr>
                <w:kern w:val="24"/>
                <w:sz w:val="24"/>
                <w:szCs w:val="32"/>
                <w:vertAlign w:val="subscript"/>
              </w:rPr>
              <w:t>n</w:t>
            </w:r>
            <w:r>
              <w:rPr>
                <w:kern w:val="24"/>
                <w:sz w:val="24"/>
                <w:szCs w:val="32"/>
              </w:rPr>
              <w:t>——每种环境风险物质的最大存在总量，t；</w:t>
            </w:r>
          </w:p>
          <w:p>
            <w:pPr>
              <w:spacing w:line="360" w:lineRule="auto"/>
              <w:ind w:firstLine="480" w:firstLineChars="200"/>
              <w:jc w:val="left"/>
              <w:rPr>
                <w:kern w:val="24"/>
                <w:sz w:val="24"/>
                <w:szCs w:val="32"/>
              </w:rPr>
            </w:pPr>
            <w:r>
              <w:rPr>
                <w:kern w:val="24"/>
                <w:sz w:val="24"/>
                <w:szCs w:val="32"/>
              </w:rPr>
              <w:t>Q</w:t>
            </w:r>
            <w:r>
              <w:rPr>
                <w:kern w:val="24"/>
                <w:sz w:val="24"/>
                <w:szCs w:val="32"/>
                <w:vertAlign w:val="subscript"/>
              </w:rPr>
              <w:t>1</w:t>
            </w:r>
            <w:r>
              <w:rPr>
                <w:kern w:val="24"/>
                <w:sz w:val="24"/>
                <w:szCs w:val="32"/>
              </w:rPr>
              <w:t>、Q</w:t>
            </w:r>
            <w:r>
              <w:rPr>
                <w:kern w:val="24"/>
                <w:sz w:val="24"/>
                <w:szCs w:val="32"/>
                <w:vertAlign w:val="subscript"/>
              </w:rPr>
              <w:t>2</w:t>
            </w:r>
            <w:r>
              <w:rPr>
                <w:kern w:val="24"/>
                <w:sz w:val="24"/>
                <w:szCs w:val="32"/>
              </w:rPr>
              <w:t>、...Q</w:t>
            </w:r>
            <w:r>
              <w:rPr>
                <w:kern w:val="24"/>
                <w:sz w:val="24"/>
                <w:szCs w:val="32"/>
                <w:vertAlign w:val="subscript"/>
              </w:rPr>
              <w:t>n</w:t>
            </w:r>
            <w:r>
              <w:rPr>
                <w:kern w:val="24"/>
                <w:sz w:val="24"/>
                <w:szCs w:val="32"/>
              </w:rPr>
              <w:t>——每种环境风险物质的临界量，t。</w:t>
            </w:r>
          </w:p>
          <w:p>
            <w:pPr>
              <w:spacing w:line="360" w:lineRule="auto"/>
              <w:ind w:firstLine="480" w:firstLineChars="200"/>
              <w:jc w:val="left"/>
              <w:rPr>
                <w:kern w:val="24"/>
                <w:sz w:val="24"/>
                <w:szCs w:val="32"/>
              </w:rPr>
            </w:pPr>
            <w:r>
              <w:rPr>
                <w:kern w:val="24"/>
                <w:sz w:val="24"/>
                <w:szCs w:val="32"/>
              </w:rPr>
              <w:t>当 Q＜1 时，该项目环境风险潜势为Ⅰ；</w:t>
            </w:r>
          </w:p>
          <w:p>
            <w:pPr>
              <w:spacing w:line="360" w:lineRule="auto"/>
              <w:ind w:firstLine="480" w:firstLineChars="200"/>
              <w:jc w:val="left"/>
              <w:rPr>
                <w:kern w:val="24"/>
                <w:sz w:val="24"/>
                <w:szCs w:val="32"/>
              </w:rPr>
            </w:pPr>
            <w:r>
              <w:rPr>
                <w:kern w:val="24"/>
                <w:sz w:val="24"/>
                <w:szCs w:val="32"/>
              </w:rPr>
              <w:t>当 Q≥1 时，将 Q 值划分为：（1）1≤Q＜10；（2）10≤Q＜100；（3）Q≥100。</w:t>
            </w:r>
          </w:p>
          <w:p>
            <w:pPr>
              <w:pStyle w:val="45"/>
              <w:rPr>
                <w:rFonts w:ascii="Times New Roman" w:hAnsi="Times New Roman" w:cs="Times New Roman"/>
                <w:b/>
                <w:bCs/>
                <w:kern w:val="24"/>
                <w:sz w:val="24"/>
                <w:szCs w:val="32"/>
                <w:lang w:val="en-US"/>
              </w:rPr>
            </w:pPr>
            <w:r>
              <w:rPr>
                <w:rFonts w:ascii="Times New Roman" w:hAnsi="Times New Roman" w:cs="Times New Roman"/>
                <w:b/>
                <w:bCs/>
                <w:kern w:val="24"/>
                <w:sz w:val="24"/>
                <w:szCs w:val="32"/>
                <w:lang w:val="en-US"/>
              </w:rPr>
              <w:t>表4.11-3  环境风险物质及Q值确定结果一览表</w:t>
            </w:r>
          </w:p>
          <w:tbl>
            <w:tblPr>
              <w:tblStyle w:val="7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1"/>
              <w:gridCol w:w="1791"/>
              <w:gridCol w:w="1319"/>
              <w:gridCol w:w="1537"/>
              <w:gridCol w:w="1195"/>
              <w:gridCol w:w="1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Align w:val="center"/>
                </w:tcPr>
                <w:p>
                  <w:pPr>
                    <w:jc w:val="center"/>
                    <w:rPr>
                      <w:b/>
                      <w:bCs/>
                      <w:szCs w:val="21"/>
                    </w:rPr>
                  </w:pPr>
                  <w:r>
                    <w:rPr>
                      <w:b/>
                      <w:bCs/>
                      <w:szCs w:val="21"/>
                    </w:rPr>
                    <w:t>序号</w:t>
                  </w:r>
                </w:p>
              </w:tc>
              <w:tc>
                <w:tcPr>
                  <w:tcW w:w="1057" w:type="pct"/>
                  <w:vAlign w:val="center"/>
                </w:tcPr>
                <w:p>
                  <w:pPr>
                    <w:jc w:val="center"/>
                    <w:rPr>
                      <w:b/>
                      <w:bCs/>
                      <w:szCs w:val="21"/>
                    </w:rPr>
                  </w:pPr>
                  <w:r>
                    <w:rPr>
                      <w:b/>
                      <w:bCs/>
                      <w:szCs w:val="21"/>
                    </w:rPr>
                    <w:t>危险物质名称</w:t>
                  </w:r>
                </w:p>
              </w:tc>
              <w:tc>
                <w:tcPr>
                  <w:tcW w:w="778" w:type="pct"/>
                  <w:vAlign w:val="center"/>
                </w:tcPr>
                <w:p>
                  <w:pPr>
                    <w:jc w:val="center"/>
                    <w:rPr>
                      <w:b/>
                      <w:bCs/>
                      <w:szCs w:val="21"/>
                    </w:rPr>
                  </w:pPr>
                  <w:r>
                    <w:rPr>
                      <w:b/>
                      <w:bCs/>
                      <w:szCs w:val="21"/>
                    </w:rPr>
                    <w:t>CAS号</w:t>
                  </w:r>
                </w:p>
              </w:tc>
              <w:tc>
                <w:tcPr>
                  <w:tcW w:w="907" w:type="pct"/>
                  <w:vAlign w:val="center"/>
                </w:tcPr>
                <w:p>
                  <w:pPr>
                    <w:jc w:val="center"/>
                    <w:rPr>
                      <w:b/>
                      <w:bCs/>
                      <w:szCs w:val="21"/>
                    </w:rPr>
                  </w:pPr>
                  <w:r>
                    <w:rPr>
                      <w:b/>
                      <w:bCs/>
                      <w:szCs w:val="21"/>
                    </w:rPr>
                    <w:t>最大存储量</w:t>
                  </w:r>
                </w:p>
                <w:p>
                  <w:pPr>
                    <w:jc w:val="center"/>
                    <w:rPr>
                      <w:b/>
                      <w:bCs/>
                      <w:szCs w:val="21"/>
                    </w:rPr>
                  </w:pPr>
                  <w:r>
                    <w:rPr>
                      <w:b/>
                      <w:bCs/>
                      <w:szCs w:val="21"/>
                    </w:rPr>
                    <w:t>q</w:t>
                  </w:r>
                  <w:r>
                    <w:rPr>
                      <w:b/>
                      <w:bCs/>
                      <w:szCs w:val="21"/>
                      <w:vertAlign w:val="subscript"/>
                    </w:rPr>
                    <w:t>n</w:t>
                  </w:r>
                  <w:r>
                    <w:rPr>
                      <w:b/>
                      <w:bCs/>
                      <w:szCs w:val="21"/>
                    </w:rPr>
                    <w:t>（t）</w:t>
                  </w:r>
                </w:p>
              </w:tc>
              <w:tc>
                <w:tcPr>
                  <w:tcW w:w="705" w:type="pct"/>
                  <w:vAlign w:val="center"/>
                </w:tcPr>
                <w:p>
                  <w:pPr>
                    <w:jc w:val="center"/>
                    <w:rPr>
                      <w:b/>
                      <w:bCs/>
                      <w:szCs w:val="21"/>
                    </w:rPr>
                  </w:pPr>
                  <w:r>
                    <w:rPr>
                      <w:b/>
                      <w:bCs/>
                      <w:szCs w:val="21"/>
                    </w:rPr>
                    <w:t>临界量</w:t>
                  </w:r>
                </w:p>
                <w:p>
                  <w:pPr>
                    <w:jc w:val="center"/>
                    <w:rPr>
                      <w:b/>
                      <w:bCs/>
                      <w:szCs w:val="21"/>
                    </w:rPr>
                  </w:pPr>
                  <w:r>
                    <w:rPr>
                      <w:b/>
                      <w:bCs/>
                      <w:szCs w:val="21"/>
                    </w:rPr>
                    <w:t>Qn（t）</w:t>
                  </w:r>
                </w:p>
              </w:tc>
              <w:tc>
                <w:tcPr>
                  <w:tcW w:w="1098" w:type="pct"/>
                  <w:vAlign w:val="center"/>
                </w:tcPr>
                <w:p>
                  <w:pPr>
                    <w:jc w:val="center"/>
                    <w:rPr>
                      <w:b/>
                      <w:bCs/>
                      <w:szCs w:val="21"/>
                    </w:rPr>
                  </w:pPr>
                  <w:r>
                    <w:rPr>
                      <w:b/>
                      <w:bCs/>
                      <w:szCs w:val="21"/>
                    </w:rPr>
                    <w:t>危险物质Q值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Align w:val="center"/>
                </w:tcPr>
                <w:p>
                  <w:pPr>
                    <w:jc w:val="center"/>
                    <w:rPr>
                      <w:szCs w:val="21"/>
                    </w:rPr>
                  </w:pPr>
                  <w:r>
                    <w:rPr>
                      <w:szCs w:val="21"/>
                    </w:rPr>
                    <w:t>1</w:t>
                  </w:r>
                </w:p>
              </w:tc>
              <w:tc>
                <w:tcPr>
                  <w:tcW w:w="1057" w:type="pct"/>
                  <w:vAlign w:val="center"/>
                </w:tcPr>
                <w:p>
                  <w:pPr>
                    <w:jc w:val="center"/>
                    <w:rPr>
                      <w:szCs w:val="21"/>
                    </w:rPr>
                  </w:pPr>
                  <w:r>
                    <w:rPr>
                      <w:rFonts w:hint="eastAsia"/>
                      <w:szCs w:val="21"/>
                    </w:rPr>
                    <w:t>矿物油类物质</w:t>
                  </w:r>
                </w:p>
              </w:tc>
              <w:tc>
                <w:tcPr>
                  <w:tcW w:w="778" w:type="pct"/>
                  <w:vAlign w:val="center"/>
                </w:tcPr>
                <w:p>
                  <w:pPr>
                    <w:jc w:val="center"/>
                    <w:rPr>
                      <w:szCs w:val="21"/>
                    </w:rPr>
                  </w:pPr>
                  <w:r>
                    <w:rPr>
                      <w:rFonts w:hint="eastAsia"/>
                      <w:szCs w:val="21"/>
                    </w:rPr>
                    <w:t>/</w:t>
                  </w:r>
                </w:p>
              </w:tc>
              <w:tc>
                <w:tcPr>
                  <w:tcW w:w="907" w:type="pct"/>
                  <w:vAlign w:val="center"/>
                </w:tcPr>
                <w:p>
                  <w:pPr>
                    <w:jc w:val="center"/>
                    <w:rPr>
                      <w:szCs w:val="21"/>
                    </w:rPr>
                  </w:pPr>
                  <w:r>
                    <w:rPr>
                      <w:szCs w:val="21"/>
                    </w:rPr>
                    <w:t>0.1</w:t>
                  </w:r>
                </w:p>
              </w:tc>
              <w:tc>
                <w:tcPr>
                  <w:tcW w:w="705" w:type="pct"/>
                  <w:vAlign w:val="center"/>
                </w:tcPr>
                <w:p>
                  <w:pPr>
                    <w:jc w:val="center"/>
                    <w:rPr>
                      <w:szCs w:val="21"/>
                    </w:rPr>
                  </w:pPr>
                  <w:r>
                    <w:rPr>
                      <w:rFonts w:hint="eastAsia"/>
                      <w:szCs w:val="21"/>
                    </w:rPr>
                    <w:t>2</w:t>
                  </w:r>
                  <w:r>
                    <w:rPr>
                      <w:szCs w:val="21"/>
                    </w:rPr>
                    <w:t>000</w:t>
                  </w:r>
                </w:p>
              </w:tc>
              <w:tc>
                <w:tcPr>
                  <w:tcW w:w="1098" w:type="pct"/>
                  <w:vAlign w:val="center"/>
                </w:tcPr>
                <w:p>
                  <w:pPr>
                    <w:jc w:val="center"/>
                  </w:pPr>
                  <w:r>
                    <w:t>0.00005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02" w:type="pct"/>
                  <w:gridSpan w:val="5"/>
                  <w:vAlign w:val="center"/>
                </w:tcPr>
                <w:p>
                  <w:pPr>
                    <w:jc w:val="center"/>
                    <w:rPr>
                      <w:szCs w:val="21"/>
                    </w:rPr>
                  </w:pPr>
                  <w:r>
                    <w:t>项目∑Q值</w:t>
                  </w:r>
                </w:p>
              </w:tc>
              <w:tc>
                <w:tcPr>
                  <w:tcW w:w="1098" w:type="pct"/>
                  <w:vAlign w:val="center"/>
                </w:tcPr>
                <w:p>
                  <w:pPr>
                    <w:jc w:val="center"/>
                    <w:rPr>
                      <w:szCs w:val="21"/>
                    </w:rPr>
                  </w:pPr>
                  <w:r>
                    <w:t>0.00005</w:t>
                  </w:r>
                </w:p>
              </w:tc>
            </w:tr>
          </w:tbl>
          <w:p>
            <w:pPr>
              <w:pStyle w:val="45"/>
              <w:spacing w:line="364" w:lineRule="auto"/>
              <w:ind w:left="106" w:right="-58" w:firstLine="480"/>
              <w:jc w:val="left"/>
              <w:rPr>
                <w:rFonts w:ascii="Times New Roman" w:hAnsi="Times New Roman" w:cs="Times New Roman"/>
                <w:sz w:val="24"/>
              </w:rPr>
            </w:pPr>
            <w:r>
              <w:rPr>
                <w:rFonts w:ascii="Times New Roman" w:hAnsi="Times New Roman" w:cs="Times New Roman"/>
                <w:spacing w:val="-6"/>
                <w:sz w:val="24"/>
              </w:rPr>
              <w:t>由上表可知，项目</w:t>
            </w:r>
            <w:r>
              <w:rPr>
                <w:rFonts w:ascii="Times New Roman" w:hAnsi="Times New Roman" w:cs="Times New Roman"/>
                <w:sz w:val="24"/>
              </w:rPr>
              <w:t>Q</w:t>
            </w:r>
            <w:r>
              <w:rPr>
                <w:rFonts w:ascii="Times New Roman" w:hAnsi="Times New Roman" w:cs="Times New Roman"/>
                <w:position w:val="-2"/>
                <w:sz w:val="12"/>
              </w:rPr>
              <w:t>总</w:t>
            </w:r>
            <w:r>
              <w:rPr>
                <w:rFonts w:ascii="Times New Roman" w:hAnsi="Times New Roman" w:cs="Times New Roman"/>
                <w:sz w:val="24"/>
              </w:rPr>
              <w:t>=</w:t>
            </w:r>
            <w:r>
              <w:rPr>
                <w:rFonts w:ascii="Times New Roman" w:hAnsi="Times New Roman" w:cs="Times New Roman"/>
                <w:sz w:val="24"/>
                <w:lang w:val="en-US"/>
              </w:rPr>
              <w:t>0.00005</w:t>
            </w:r>
            <w:r>
              <w:rPr>
                <w:rFonts w:ascii="Times New Roman" w:hAnsi="Times New Roman" w:cs="Times New Roman"/>
                <w:spacing w:val="-13"/>
                <w:sz w:val="24"/>
              </w:rPr>
              <w:t>，</w:t>
            </w:r>
            <w:r>
              <w:rPr>
                <w:rFonts w:ascii="Times New Roman" w:hAnsi="Times New Roman" w:cs="Times New Roman"/>
                <w:sz w:val="24"/>
              </w:rPr>
              <w:t>Q</w:t>
            </w:r>
            <w:r>
              <w:rPr>
                <w:rFonts w:ascii="Times New Roman" w:hAnsi="Times New Roman" w:cs="Times New Roman"/>
                <w:spacing w:val="1"/>
                <w:sz w:val="24"/>
              </w:rPr>
              <w:t>＜</w:t>
            </w:r>
            <w:r>
              <w:rPr>
                <w:rFonts w:ascii="Times New Roman" w:hAnsi="Times New Roman" w:cs="Times New Roman"/>
                <w:spacing w:val="2"/>
                <w:sz w:val="24"/>
              </w:rPr>
              <w:t>1</w:t>
            </w:r>
            <w:r>
              <w:rPr>
                <w:rFonts w:ascii="Times New Roman" w:hAnsi="Times New Roman" w:cs="Times New Roman"/>
                <w:sz w:val="24"/>
              </w:rPr>
              <w:t>，根据《建设项目环境风险评价技术</w:t>
            </w:r>
            <w:r>
              <w:rPr>
                <w:rFonts w:ascii="Times New Roman" w:hAnsi="Times New Roman" w:cs="Times New Roman"/>
                <w:spacing w:val="-25"/>
                <w:sz w:val="24"/>
              </w:rPr>
              <w:t>导则》</w:t>
            </w:r>
            <w:r>
              <w:rPr>
                <w:rFonts w:ascii="Times New Roman" w:hAnsi="Times New Roman" w:cs="Times New Roman"/>
                <w:sz w:val="24"/>
              </w:rPr>
              <w:t>（HJ</w:t>
            </w:r>
            <w:r>
              <w:rPr>
                <w:rFonts w:ascii="Times New Roman" w:hAnsi="Times New Roman" w:cs="Times New Roman"/>
                <w:spacing w:val="5"/>
                <w:sz w:val="24"/>
              </w:rPr>
              <w:t xml:space="preserve"> </w:t>
            </w:r>
            <w:r>
              <w:rPr>
                <w:rFonts w:ascii="Times New Roman" w:hAnsi="Times New Roman" w:cs="Times New Roman"/>
                <w:spacing w:val="-5"/>
                <w:sz w:val="24"/>
              </w:rPr>
              <w:t>169-2018）</w:t>
            </w:r>
            <w:r>
              <w:rPr>
                <w:rFonts w:ascii="Times New Roman" w:hAnsi="Times New Roman" w:cs="Times New Roman"/>
                <w:sz w:val="24"/>
              </w:rPr>
              <w:t>项目环境风险潜势为</w:t>
            </w:r>
            <w:r>
              <w:rPr>
                <w:rFonts w:hint="eastAsia" w:ascii="Times New Roman" w:hAnsi="Times New Roman" w:cs="Times New Roman"/>
                <w:spacing w:val="-19"/>
                <w:sz w:val="24"/>
              </w:rPr>
              <w:t>I</w:t>
            </w:r>
            <w:r>
              <w:rPr>
                <w:rFonts w:ascii="Times New Roman" w:hAnsi="Times New Roman" w:cs="Times New Roman"/>
                <w:spacing w:val="-10"/>
                <w:sz w:val="24"/>
              </w:rPr>
              <w:t>，</w:t>
            </w:r>
            <w:r>
              <w:rPr>
                <w:rFonts w:hint="eastAsia" w:ascii="Times New Roman" w:hAnsi="Times New Roman" w:cs="Times New Roman"/>
                <w:spacing w:val="-10"/>
                <w:sz w:val="24"/>
              </w:rPr>
              <w:t>环境风险评价进行简单分析。</w:t>
            </w:r>
          </w:p>
          <w:p>
            <w:pPr>
              <w:pStyle w:val="45"/>
              <w:tabs>
                <w:tab w:val="left" w:pos="3965"/>
              </w:tabs>
              <w:spacing w:before="3"/>
              <w:ind w:left="2986"/>
              <w:jc w:val="left"/>
              <w:rPr>
                <w:rFonts w:ascii="Times New Roman" w:hAnsi="Times New Roman" w:cs="Times New Roman"/>
                <w:b/>
                <w:sz w:val="24"/>
              </w:rPr>
            </w:pPr>
            <w:r>
              <w:rPr>
                <w:rFonts w:ascii="Times New Roman" w:hAnsi="Times New Roman" w:cs="Times New Roman"/>
                <w:b/>
                <w:sz w:val="24"/>
              </w:rPr>
              <w:t>表</w:t>
            </w:r>
            <w:r>
              <w:rPr>
                <w:rFonts w:ascii="Times New Roman" w:hAnsi="Times New Roman" w:cs="Times New Roman"/>
                <w:b/>
                <w:sz w:val="24"/>
                <w:lang w:val="en-US"/>
              </w:rPr>
              <w:t>4.11-4</w:t>
            </w:r>
            <w:r>
              <w:rPr>
                <w:rFonts w:ascii="Times New Roman" w:hAnsi="Times New Roman" w:cs="Times New Roman"/>
                <w:b/>
                <w:sz w:val="24"/>
              </w:rPr>
              <w:t xml:space="preserve">  环境风险评价工作等级</w:t>
            </w:r>
          </w:p>
          <w:tbl>
            <w:tblPr>
              <w:tblStyle w:val="3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030"/>
              <w:gridCol w:w="1965"/>
              <w:gridCol w:w="584"/>
              <w:gridCol w:w="584"/>
              <w:gridCol w:w="22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030" w:type="dxa"/>
                  <w:vAlign w:val="center"/>
                </w:tcPr>
                <w:p>
                  <w:pPr>
                    <w:pStyle w:val="45"/>
                    <w:rPr>
                      <w:rFonts w:ascii="Times New Roman" w:hAnsi="Times New Roman" w:cs="Times New Roman"/>
                      <w:szCs w:val="21"/>
                    </w:rPr>
                  </w:pPr>
                  <w:r>
                    <w:rPr>
                      <w:rFonts w:ascii="Times New Roman" w:hAnsi="Times New Roman" w:cs="Times New Roman"/>
                      <w:szCs w:val="21"/>
                    </w:rPr>
                    <w:t>环境风险潜势</w:t>
                  </w:r>
                </w:p>
              </w:tc>
              <w:tc>
                <w:tcPr>
                  <w:tcW w:w="1965" w:type="dxa"/>
                  <w:vAlign w:val="center"/>
                </w:tcPr>
                <w:p>
                  <w:pPr>
                    <w:pStyle w:val="45"/>
                    <w:rPr>
                      <w:rFonts w:ascii="Times New Roman" w:hAnsi="Times New Roman" w:cs="Times New Roman"/>
                      <w:szCs w:val="21"/>
                    </w:rPr>
                  </w:pPr>
                  <w:r>
                    <w:rPr>
                      <w:rFonts w:ascii="Times New Roman" w:hAnsi="Times New Roman" w:cs="Times New Roman"/>
                      <w:szCs w:val="21"/>
                    </w:rPr>
                    <w:t>IV、IV</w:t>
                  </w:r>
                  <w:r>
                    <w:rPr>
                      <w:rFonts w:ascii="Times New Roman" w:hAnsi="Times New Roman" w:cs="Times New Roman"/>
                      <w:position w:val="7"/>
                      <w:szCs w:val="21"/>
                    </w:rPr>
                    <w:t>+</w:t>
                  </w:r>
                </w:p>
              </w:tc>
              <w:tc>
                <w:tcPr>
                  <w:tcW w:w="584" w:type="dxa"/>
                  <w:vAlign w:val="center"/>
                </w:tcPr>
                <w:p>
                  <w:pPr>
                    <w:pStyle w:val="45"/>
                    <w:rPr>
                      <w:rFonts w:ascii="Times New Roman" w:hAnsi="Times New Roman" w:cs="Times New Roman"/>
                      <w:szCs w:val="21"/>
                    </w:rPr>
                  </w:pPr>
                  <w:r>
                    <w:rPr>
                      <w:rFonts w:ascii="Times New Roman" w:hAnsi="Times New Roman" w:cs="Times New Roman"/>
                      <w:szCs w:val="21"/>
                    </w:rPr>
                    <w:t>III</w:t>
                  </w:r>
                </w:p>
              </w:tc>
              <w:tc>
                <w:tcPr>
                  <w:tcW w:w="584" w:type="dxa"/>
                  <w:vAlign w:val="center"/>
                </w:tcPr>
                <w:p>
                  <w:pPr>
                    <w:pStyle w:val="45"/>
                    <w:rPr>
                      <w:rFonts w:ascii="Times New Roman" w:hAnsi="Times New Roman" w:cs="Times New Roman"/>
                      <w:szCs w:val="21"/>
                    </w:rPr>
                  </w:pPr>
                  <w:r>
                    <w:rPr>
                      <w:rFonts w:ascii="Times New Roman" w:hAnsi="Times New Roman" w:cs="Times New Roman"/>
                      <w:szCs w:val="21"/>
                    </w:rPr>
                    <w:t>II</w:t>
                  </w:r>
                </w:p>
              </w:tc>
              <w:tc>
                <w:tcPr>
                  <w:tcW w:w="2297" w:type="dxa"/>
                  <w:vAlign w:val="center"/>
                </w:tcPr>
                <w:p>
                  <w:pPr>
                    <w:pStyle w:val="45"/>
                    <w:rPr>
                      <w:rFonts w:ascii="Times New Roman" w:hAnsi="Times New Roman" w:cs="Times New Roman"/>
                      <w:szCs w:val="21"/>
                    </w:rPr>
                  </w:pPr>
                  <w:r>
                    <w:rPr>
                      <w:rFonts w:ascii="Times New Roman" w:hAnsi="Times New Roman" w:cs="Times New Roman"/>
                      <w:w w:val="99"/>
                      <w:szCs w:val="21"/>
                    </w:rPr>
                    <w:t>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030" w:type="dxa"/>
                  <w:vAlign w:val="center"/>
                </w:tcPr>
                <w:p>
                  <w:pPr>
                    <w:pStyle w:val="45"/>
                    <w:rPr>
                      <w:rFonts w:ascii="Times New Roman" w:hAnsi="Times New Roman" w:cs="Times New Roman"/>
                      <w:szCs w:val="21"/>
                    </w:rPr>
                  </w:pPr>
                  <w:r>
                    <w:rPr>
                      <w:rFonts w:ascii="Times New Roman" w:hAnsi="Times New Roman" w:cs="Times New Roman"/>
                      <w:szCs w:val="21"/>
                    </w:rPr>
                    <w:t>评价工作等级</w:t>
                  </w:r>
                </w:p>
              </w:tc>
              <w:tc>
                <w:tcPr>
                  <w:tcW w:w="1965" w:type="dxa"/>
                  <w:vAlign w:val="center"/>
                </w:tcPr>
                <w:p>
                  <w:pPr>
                    <w:pStyle w:val="45"/>
                    <w:rPr>
                      <w:rFonts w:ascii="Times New Roman" w:hAnsi="Times New Roman" w:cs="Times New Roman"/>
                      <w:szCs w:val="21"/>
                    </w:rPr>
                  </w:pPr>
                  <w:r>
                    <w:rPr>
                      <w:rFonts w:ascii="Times New Roman" w:hAnsi="Times New Roman" w:cs="Times New Roman"/>
                      <w:w w:val="99"/>
                      <w:szCs w:val="21"/>
                    </w:rPr>
                    <w:t>一</w:t>
                  </w:r>
                </w:p>
              </w:tc>
              <w:tc>
                <w:tcPr>
                  <w:tcW w:w="584" w:type="dxa"/>
                  <w:vAlign w:val="center"/>
                </w:tcPr>
                <w:p>
                  <w:pPr>
                    <w:pStyle w:val="45"/>
                    <w:rPr>
                      <w:rFonts w:ascii="Times New Roman" w:hAnsi="Times New Roman" w:cs="Times New Roman"/>
                      <w:szCs w:val="21"/>
                    </w:rPr>
                  </w:pPr>
                  <w:r>
                    <w:rPr>
                      <w:rFonts w:ascii="Times New Roman" w:hAnsi="Times New Roman" w:cs="Times New Roman"/>
                      <w:w w:val="99"/>
                      <w:szCs w:val="21"/>
                    </w:rPr>
                    <w:t>二</w:t>
                  </w:r>
                </w:p>
              </w:tc>
              <w:tc>
                <w:tcPr>
                  <w:tcW w:w="584" w:type="dxa"/>
                  <w:vAlign w:val="center"/>
                </w:tcPr>
                <w:p>
                  <w:pPr>
                    <w:pStyle w:val="45"/>
                    <w:rPr>
                      <w:rFonts w:ascii="Times New Roman" w:hAnsi="Times New Roman" w:cs="Times New Roman"/>
                      <w:szCs w:val="21"/>
                    </w:rPr>
                  </w:pPr>
                  <w:r>
                    <w:rPr>
                      <w:rFonts w:ascii="Times New Roman" w:hAnsi="Times New Roman" w:cs="Times New Roman"/>
                      <w:szCs w:val="21"/>
                    </w:rPr>
                    <w:t>三</w:t>
                  </w:r>
                </w:p>
              </w:tc>
              <w:tc>
                <w:tcPr>
                  <w:tcW w:w="2297" w:type="dxa"/>
                  <w:shd w:val="clear" w:color="auto" w:fill="B6DDE8"/>
                  <w:vAlign w:val="center"/>
                </w:tcPr>
                <w:p>
                  <w:pPr>
                    <w:pStyle w:val="45"/>
                    <w:rPr>
                      <w:rFonts w:ascii="Times New Roman" w:hAnsi="Times New Roman" w:cs="Times New Roman"/>
                      <w:szCs w:val="21"/>
                    </w:rPr>
                  </w:pPr>
                  <w:r>
                    <w:rPr>
                      <w:rFonts w:ascii="Times New Roman" w:hAnsi="Times New Roman" w:cs="Times New Roman"/>
                      <w:szCs w:val="21"/>
                    </w:rPr>
                    <w:t>简单分析*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460" w:type="dxa"/>
                  <w:gridSpan w:val="5"/>
                  <w:vAlign w:val="center"/>
                </w:tcPr>
                <w:p>
                  <w:pPr>
                    <w:pStyle w:val="45"/>
                    <w:rPr>
                      <w:rFonts w:ascii="Times New Roman" w:hAnsi="Times New Roman" w:cs="Times New Roman"/>
                      <w:szCs w:val="21"/>
                    </w:rPr>
                  </w:pPr>
                  <w:r>
                    <w:rPr>
                      <w:rFonts w:ascii="Times New Roman" w:hAnsi="Times New Roman" w:cs="Times New Roman"/>
                      <w:szCs w:val="21"/>
                    </w:rPr>
                    <w:t>*是相对于相对于详细评价工作内容而言，在描述危险物质、环境影响途径、环境危害后果、风险防范措施等方面给出定性说明。</w:t>
                  </w:r>
                </w:p>
              </w:tc>
            </w:tr>
          </w:tbl>
          <w:p>
            <w:pPr>
              <w:pStyle w:val="41"/>
              <w:spacing w:line="360" w:lineRule="auto"/>
              <w:ind w:firstLine="481" w:firstLineChars="200"/>
              <w:jc w:val="both"/>
              <w:rPr>
                <w:rFonts w:ascii="Times New Roman" w:hAnsi="Times New Roman" w:cs="Times New Roman"/>
                <w:b/>
                <w:bCs/>
                <w:color w:val="auto"/>
              </w:rPr>
            </w:pPr>
            <w:r>
              <w:rPr>
                <w:rFonts w:hint="eastAsia" w:ascii="Times New Roman" w:hAnsi="Times New Roman" w:cs="Times New Roman"/>
                <w:b/>
                <w:bCs/>
                <w:color w:val="auto"/>
              </w:rPr>
              <w:t>（2）生产设施风险识别</w:t>
            </w:r>
          </w:p>
          <w:p>
            <w:pPr>
              <w:spacing w:line="360" w:lineRule="auto"/>
              <w:ind w:firstLine="480" w:firstLineChars="200"/>
              <w:jc w:val="left"/>
              <w:rPr>
                <w:kern w:val="24"/>
                <w:sz w:val="24"/>
                <w:szCs w:val="32"/>
              </w:rPr>
            </w:pPr>
            <w:r>
              <w:rPr>
                <w:rFonts w:hint="eastAsia"/>
                <w:kern w:val="24"/>
                <w:sz w:val="24"/>
                <w:szCs w:val="32"/>
              </w:rPr>
              <w:t>项目运行期生产设施风险源识别包括：贮运设施、环保设施，项目运行期生产设施风险识别详见下表：</w:t>
            </w:r>
          </w:p>
          <w:p>
            <w:pPr>
              <w:pStyle w:val="45"/>
              <w:tabs>
                <w:tab w:val="left" w:pos="3965"/>
              </w:tabs>
              <w:rPr>
                <w:rFonts w:ascii="Times New Roman" w:hAnsi="Times New Roman" w:cs="Times New Roman"/>
                <w:b/>
                <w:sz w:val="24"/>
              </w:rPr>
            </w:pPr>
            <w:r>
              <w:rPr>
                <w:rFonts w:hint="eastAsia" w:ascii="Times New Roman" w:hAnsi="Times New Roman" w:cs="Times New Roman"/>
                <w:b/>
                <w:sz w:val="24"/>
              </w:rPr>
              <w:t>表</w:t>
            </w:r>
            <w:r>
              <w:rPr>
                <w:rFonts w:ascii="Times New Roman" w:hAnsi="Times New Roman" w:cs="Times New Roman"/>
                <w:b/>
                <w:sz w:val="24"/>
              </w:rPr>
              <w:t>4.11-5</w:t>
            </w:r>
            <w:r>
              <w:rPr>
                <w:rFonts w:hint="eastAsia" w:ascii="Times New Roman" w:hAnsi="Times New Roman" w:cs="Times New Roman"/>
                <w:b/>
                <w:sz w:val="24"/>
              </w:rPr>
              <w:t xml:space="preserve">  生产设施环境风险识别表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974"/>
              <w:gridCol w:w="1114"/>
              <w:gridCol w:w="2552"/>
              <w:gridCol w:w="2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811" w:type="dxa"/>
                  <w:gridSpan w:val="2"/>
                  <w:vAlign w:val="center"/>
                </w:tcPr>
                <w:p>
                  <w:pPr>
                    <w:widowControl/>
                    <w:jc w:val="center"/>
                    <w:rPr>
                      <w:b/>
                      <w:bCs/>
                      <w:szCs w:val="21"/>
                      <w:lang w:val="zh-CN" w:eastAsia="en-US" w:bidi="en-US"/>
                    </w:rPr>
                  </w:pPr>
                  <w:r>
                    <w:rPr>
                      <w:b/>
                      <w:bCs/>
                      <w:szCs w:val="21"/>
                      <w:lang w:val="zh-CN" w:eastAsia="en-US" w:bidi="en-US"/>
                    </w:rPr>
                    <w:t>风险单元</w:t>
                  </w:r>
                </w:p>
              </w:tc>
              <w:tc>
                <w:tcPr>
                  <w:tcW w:w="1114" w:type="dxa"/>
                  <w:vAlign w:val="center"/>
                </w:tcPr>
                <w:p>
                  <w:pPr>
                    <w:jc w:val="center"/>
                    <w:rPr>
                      <w:b/>
                      <w:bCs/>
                      <w:szCs w:val="21"/>
                      <w:lang w:val="zh-CN"/>
                    </w:rPr>
                  </w:pPr>
                  <w:r>
                    <w:rPr>
                      <w:b/>
                      <w:bCs/>
                      <w:szCs w:val="21"/>
                      <w:lang w:val="zh-CN"/>
                    </w:rPr>
                    <w:t>所含危险物质</w:t>
                  </w:r>
                </w:p>
              </w:tc>
              <w:tc>
                <w:tcPr>
                  <w:tcW w:w="2552" w:type="dxa"/>
                  <w:vAlign w:val="center"/>
                </w:tcPr>
                <w:p>
                  <w:pPr>
                    <w:jc w:val="center"/>
                    <w:rPr>
                      <w:b/>
                      <w:bCs/>
                      <w:szCs w:val="21"/>
                      <w:lang w:val="zh-CN"/>
                    </w:rPr>
                  </w:pPr>
                  <w:r>
                    <w:rPr>
                      <w:b/>
                      <w:bCs/>
                      <w:szCs w:val="21"/>
                      <w:lang w:val="zh-CN"/>
                    </w:rPr>
                    <w:t>事故类型</w:t>
                  </w:r>
                </w:p>
              </w:tc>
              <w:tc>
                <w:tcPr>
                  <w:tcW w:w="2689" w:type="dxa"/>
                  <w:vAlign w:val="center"/>
                </w:tcPr>
                <w:p>
                  <w:pPr>
                    <w:widowControl/>
                    <w:jc w:val="center"/>
                    <w:rPr>
                      <w:b/>
                      <w:bCs/>
                      <w:szCs w:val="21"/>
                      <w:lang w:val="zh-CN" w:eastAsia="en-US" w:bidi="en-US"/>
                    </w:rPr>
                  </w:pPr>
                  <w:r>
                    <w:rPr>
                      <w:b/>
                      <w:bCs/>
                      <w:szCs w:val="21"/>
                      <w:lang w:val="zh-CN" w:eastAsia="en-US" w:bidi="en-US"/>
                    </w:rPr>
                    <w:t>风险原因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7" w:type="dxa"/>
                  <w:vAlign w:val="center"/>
                </w:tcPr>
                <w:p>
                  <w:pPr>
                    <w:jc w:val="center"/>
                    <w:rPr>
                      <w:szCs w:val="21"/>
                    </w:rPr>
                  </w:pPr>
                  <w:r>
                    <w:rPr>
                      <w:rFonts w:hint="eastAsia"/>
                      <w:szCs w:val="21"/>
                    </w:rPr>
                    <w:t>环保设施</w:t>
                  </w:r>
                </w:p>
              </w:tc>
              <w:tc>
                <w:tcPr>
                  <w:tcW w:w="974" w:type="dxa"/>
                  <w:vAlign w:val="center"/>
                </w:tcPr>
                <w:p>
                  <w:pPr>
                    <w:jc w:val="center"/>
                    <w:rPr>
                      <w:szCs w:val="21"/>
                    </w:rPr>
                  </w:pPr>
                  <w:r>
                    <w:rPr>
                      <w:szCs w:val="21"/>
                    </w:rPr>
                    <w:t>危废暂存间</w:t>
                  </w:r>
                </w:p>
              </w:tc>
              <w:tc>
                <w:tcPr>
                  <w:tcW w:w="1114" w:type="dxa"/>
                  <w:vAlign w:val="center"/>
                </w:tcPr>
                <w:p>
                  <w:pPr>
                    <w:jc w:val="center"/>
                    <w:rPr>
                      <w:szCs w:val="21"/>
                    </w:rPr>
                  </w:pPr>
                  <w:r>
                    <w:rPr>
                      <w:szCs w:val="21"/>
                    </w:rPr>
                    <w:t>危险废物</w:t>
                  </w:r>
                </w:p>
              </w:tc>
              <w:tc>
                <w:tcPr>
                  <w:tcW w:w="2552" w:type="dxa"/>
                  <w:vAlign w:val="center"/>
                </w:tcPr>
                <w:p>
                  <w:pPr>
                    <w:jc w:val="center"/>
                    <w:rPr>
                      <w:szCs w:val="21"/>
                    </w:rPr>
                  </w:pPr>
                  <w:r>
                    <w:rPr>
                      <w:szCs w:val="21"/>
                    </w:rPr>
                    <w:t>泄漏、散落、火灾引发次生环境影响</w:t>
                  </w:r>
                </w:p>
              </w:tc>
              <w:tc>
                <w:tcPr>
                  <w:tcW w:w="2689" w:type="dxa"/>
                  <w:vAlign w:val="center"/>
                </w:tcPr>
                <w:p>
                  <w:pPr>
                    <w:jc w:val="center"/>
                    <w:rPr>
                      <w:szCs w:val="21"/>
                    </w:rPr>
                  </w:pPr>
                  <w:r>
                    <w:rPr>
                      <w:rFonts w:hint="eastAsia"/>
                      <w:szCs w:val="21"/>
                    </w:rPr>
                    <w:t>贮存容器翻倒</w:t>
                  </w:r>
                  <w:r>
                    <w:rPr>
                      <w:szCs w:val="21"/>
                    </w:rPr>
                    <w:t>、危废管理不当</w:t>
                  </w:r>
                  <w:r>
                    <w:rPr>
                      <w:rFonts w:hint="eastAsia"/>
                      <w:szCs w:val="21"/>
                    </w:rPr>
                    <w:t>；遇明火</w:t>
                  </w:r>
                </w:p>
              </w:tc>
            </w:tr>
          </w:tbl>
          <w:p>
            <w:pPr>
              <w:pStyle w:val="41"/>
              <w:spacing w:line="360" w:lineRule="auto"/>
              <w:ind w:firstLine="481" w:firstLineChars="200"/>
              <w:jc w:val="both"/>
              <w:rPr>
                <w:rFonts w:ascii="Times New Roman" w:hAnsi="Times New Roman" w:cs="Times New Roman"/>
                <w:b/>
                <w:bCs/>
                <w:color w:val="auto"/>
              </w:rPr>
            </w:pPr>
            <w:r>
              <w:rPr>
                <w:rFonts w:hint="eastAsia" w:ascii="Times New Roman" w:hAnsi="Times New Roman" w:cs="Times New Roman"/>
                <w:b/>
                <w:bCs/>
                <w:color w:val="auto"/>
              </w:rPr>
              <w:t>（3）外部风险源识别</w:t>
            </w:r>
          </w:p>
          <w:p>
            <w:pPr>
              <w:pStyle w:val="41"/>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项目选址位于维西傈僳族自治县白济汛乡下笼嘎，本项目周边2</w:t>
            </w:r>
            <w:r>
              <w:rPr>
                <w:rFonts w:ascii="Times New Roman" w:hAnsi="Times New Roman" w:cs="Times New Roman"/>
                <w:color w:val="auto"/>
              </w:rPr>
              <w:t>00</w:t>
            </w:r>
            <w:r>
              <w:rPr>
                <w:rFonts w:hint="eastAsia" w:ascii="Times New Roman" w:hAnsi="Times New Roman" w:cs="Times New Roman"/>
                <w:color w:val="auto"/>
              </w:rPr>
              <w:t>m范围内无其他工业企业分布，不涉及危险化学品等环境分析物质使用，基本不存在与本项目相关的外部环境风险源。</w:t>
            </w:r>
          </w:p>
          <w:p>
            <w:pPr>
              <w:pStyle w:val="63"/>
              <w:keepNext/>
              <w:keepLines/>
              <w:pageBreakBefore w:val="0"/>
              <w:adjustRightInd w:val="0"/>
              <w:ind w:firstLine="481" w:firstLineChars="200"/>
              <w:rPr>
                <w:rFonts w:ascii="Times New Roman" w:hAnsi="Times New Roman"/>
                <w:bCs/>
                <w:sz w:val="24"/>
                <w:szCs w:val="24"/>
              </w:rPr>
            </w:pPr>
            <w:r>
              <w:rPr>
                <w:rFonts w:hint="eastAsia" w:ascii="Times New Roman" w:hAnsi="Times New Roman"/>
                <w:bCs/>
                <w:sz w:val="24"/>
                <w:szCs w:val="24"/>
              </w:rPr>
              <w:t>（</w:t>
            </w:r>
            <w:r>
              <w:rPr>
                <w:rFonts w:ascii="Times New Roman" w:hAnsi="Times New Roman"/>
                <w:bCs/>
                <w:sz w:val="24"/>
                <w:szCs w:val="24"/>
              </w:rPr>
              <w:t>4</w:t>
            </w:r>
            <w:r>
              <w:rPr>
                <w:rFonts w:hint="eastAsia" w:ascii="Times New Roman" w:hAnsi="Times New Roman"/>
                <w:bCs/>
                <w:sz w:val="24"/>
                <w:szCs w:val="24"/>
              </w:rPr>
              <w:t>）事故毒物向环境转移途径和危害分析</w:t>
            </w:r>
          </w:p>
          <w:p>
            <w:pPr>
              <w:spacing w:line="360" w:lineRule="auto"/>
              <w:ind w:firstLine="480" w:firstLineChars="200"/>
              <w:rPr>
                <w:sz w:val="24"/>
              </w:rPr>
            </w:pPr>
            <w:r>
              <w:rPr>
                <w:rFonts w:hint="eastAsia"/>
                <w:sz w:val="24"/>
              </w:rPr>
              <w:t>项目运行期火灾、毒物泄漏等事故下，毒物向环境转移的可能途径和危害分析详见下表：</w:t>
            </w:r>
          </w:p>
          <w:p>
            <w:pPr>
              <w:jc w:val="center"/>
              <w:rPr>
                <w:b/>
                <w:bCs/>
                <w:sz w:val="24"/>
              </w:rPr>
            </w:pPr>
            <w:r>
              <w:rPr>
                <w:rFonts w:hint="eastAsia"/>
                <w:b/>
                <w:bCs/>
                <w:sz w:val="24"/>
              </w:rPr>
              <w:t>表</w:t>
            </w:r>
            <w:r>
              <w:rPr>
                <w:b/>
                <w:bCs/>
                <w:sz w:val="24"/>
              </w:rPr>
              <w:t xml:space="preserve">4.11-6  </w:t>
            </w:r>
            <w:r>
              <w:rPr>
                <w:rFonts w:hint="eastAsia"/>
                <w:b/>
                <w:bCs/>
                <w:sz w:val="24"/>
              </w:rPr>
              <w:t>事故毒物向环境转移可能途径和危害</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
              <w:gridCol w:w="1295"/>
              <w:gridCol w:w="1920"/>
              <w:gridCol w:w="2256"/>
              <w:gridCol w:w="2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vAlign w:val="center"/>
                </w:tcPr>
                <w:p>
                  <w:pPr>
                    <w:jc w:val="center"/>
                    <w:rPr>
                      <w:b/>
                      <w:bCs/>
                      <w:sz w:val="15"/>
                      <w:szCs w:val="15"/>
                    </w:rPr>
                  </w:pPr>
                  <w:r>
                    <w:rPr>
                      <w:rFonts w:hint="eastAsia"/>
                      <w:b/>
                      <w:bCs/>
                      <w:sz w:val="15"/>
                      <w:szCs w:val="15"/>
                    </w:rPr>
                    <w:t>事故类型</w:t>
                  </w:r>
                </w:p>
              </w:tc>
              <w:tc>
                <w:tcPr>
                  <w:tcW w:w="764" w:type="pct"/>
                  <w:vAlign w:val="center"/>
                </w:tcPr>
                <w:p>
                  <w:pPr>
                    <w:jc w:val="center"/>
                    <w:rPr>
                      <w:b/>
                      <w:bCs/>
                      <w:sz w:val="15"/>
                      <w:szCs w:val="15"/>
                    </w:rPr>
                  </w:pPr>
                  <w:r>
                    <w:rPr>
                      <w:rFonts w:hint="eastAsia"/>
                      <w:b/>
                      <w:bCs/>
                      <w:sz w:val="15"/>
                      <w:szCs w:val="15"/>
                    </w:rPr>
                    <w:t>事故过程</w:t>
                  </w:r>
                </w:p>
              </w:tc>
              <w:tc>
                <w:tcPr>
                  <w:tcW w:w="1133" w:type="pct"/>
                  <w:vAlign w:val="center"/>
                </w:tcPr>
                <w:p>
                  <w:pPr>
                    <w:jc w:val="center"/>
                    <w:rPr>
                      <w:b/>
                      <w:bCs/>
                      <w:sz w:val="15"/>
                      <w:szCs w:val="15"/>
                    </w:rPr>
                  </w:pPr>
                  <w:r>
                    <w:rPr>
                      <w:rFonts w:hint="eastAsia"/>
                      <w:b/>
                      <w:bCs/>
                      <w:sz w:val="15"/>
                      <w:szCs w:val="15"/>
                    </w:rPr>
                    <w:t>毒物向环境转移途径</w:t>
                  </w:r>
                </w:p>
              </w:tc>
              <w:tc>
                <w:tcPr>
                  <w:tcW w:w="1331" w:type="pct"/>
                  <w:vAlign w:val="center"/>
                </w:tcPr>
                <w:p>
                  <w:pPr>
                    <w:jc w:val="center"/>
                    <w:rPr>
                      <w:b/>
                      <w:bCs/>
                      <w:sz w:val="15"/>
                      <w:szCs w:val="15"/>
                    </w:rPr>
                  </w:pPr>
                  <w:r>
                    <w:rPr>
                      <w:rFonts w:hint="eastAsia"/>
                      <w:b/>
                      <w:bCs/>
                      <w:sz w:val="15"/>
                      <w:szCs w:val="15"/>
                    </w:rPr>
                    <w:t>危害受体</w:t>
                  </w:r>
                </w:p>
              </w:tc>
              <w:tc>
                <w:tcPr>
                  <w:tcW w:w="1232" w:type="pct"/>
                  <w:vAlign w:val="center"/>
                </w:tcPr>
                <w:p>
                  <w:pPr>
                    <w:jc w:val="center"/>
                    <w:rPr>
                      <w:b/>
                      <w:bCs/>
                      <w:sz w:val="15"/>
                      <w:szCs w:val="15"/>
                    </w:rPr>
                  </w:pPr>
                  <w:r>
                    <w:rPr>
                      <w:rFonts w:hint="eastAsia"/>
                      <w:b/>
                      <w:bCs/>
                      <w:sz w:val="15"/>
                      <w:szCs w:val="15"/>
                    </w:rPr>
                    <w:t>环境危害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vMerge w:val="restart"/>
                  <w:vAlign w:val="center"/>
                </w:tcPr>
                <w:p>
                  <w:pPr>
                    <w:jc w:val="center"/>
                    <w:rPr>
                      <w:sz w:val="15"/>
                      <w:szCs w:val="15"/>
                    </w:rPr>
                  </w:pPr>
                  <w:r>
                    <w:rPr>
                      <w:rFonts w:hint="eastAsia"/>
                      <w:sz w:val="15"/>
                      <w:szCs w:val="15"/>
                    </w:rPr>
                    <w:t>火灾</w:t>
                  </w:r>
                </w:p>
              </w:tc>
              <w:tc>
                <w:tcPr>
                  <w:tcW w:w="764" w:type="pct"/>
                  <w:vAlign w:val="center"/>
                </w:tcPr>
                <w:p>
                  <w:pPr>
                    <w:jc w:val="center"/>
                    <w:rPr>
                      <w:sz w:val="15"/>
                      <w:szCs w:val="15"/>
                    </w:rPr>
                  </w:pPr>
                  <w:r>
                    <w:rPr>
                      <w:rFonts w:hint="eastAsia"/>
                      <w:sz w:val="15"/>
                      <w:szCs w:val="15"/>
                    </w:rPr>
                    <w:t>热辐射</w:t>
                  </w:r>
                </w:p>
              </w:tc>
              <w:tc>
                <w:tcPr>
                  <w:tcW w:w="1133" w:type="pct"/>
                  <w:vAlign w:val="center"/>
                </w:tcPr>
                <w:p>
                  <w:pPr>
                    <w:jc w:val="center"/>
                    <w:rPr>
                      <w:sz w:val="15"/>
                      <w:szCs w:val="15"/>
                    </w:rPr>
                  </w:pPr>
                  <w:r>
                    <w:rPr>
                      <w:rFonts w:hint="eastAsia"/>
                      <w:sz w:val="15"/>
                      <w:szCs w:val="15"/>
                    </w:rPr>
                    <w:t>大气</w:t>
                  </w:r>
                </w:p>
              </w:tc>
              <w:tc>
                <w:tcPr>
                  <w:tcW w:w="1331" w:type="pct"/>
                  <w:vAlign w:val="center"/>
                </w:tcPr>
                <w:p>
                  <w:pPr>
                    <w:jc w:val="center"/>
                    <w:rPr>
                      <w:sz w:val="15"/>
                      <w:szCs w:val="15"/>
                    </w:rPr>
                  </w:pPr>
                  <w:r>
                    <w:rPr>
                      <w:rFonts w:hint="eastAsia"/>
                      <w:sz w:val="15"/>
                      <w:szCs w:val="15"/>
                    </w:rPr>
                    <w:t>大气环境</w:t>
                  </w:r>
                </w:p>
              </w:tc>
              <w:tc>
                <w:tcPr>
                  <w:tcW w:w="1232" w:type="pct"/>
                  <w:vAlign w:val="center"/>
                </w:tcPr>
                <w:p>
                  <w:pPr>
                    <w:jc w:val="center"/>
                    <w:rPr>
                      <w:sz w:val="15"/>
                      <w:szCs w:val="15"/>
                    </w:rPr>
                  </w:pPr>
                  <w:r>
                    <w:rPr>
                      <w:rFonts w:hint="eastAsia"/>
                      <w:sz w:val="15"/>
                      <w:szCs w:val="15"/>
                    </w:rPr>
                    <w:t>人群急性危害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vMerge w:val="continue"/>
                  <w:vAlign w:val="center"/>
                </w:tcPr>
                <w:p>
                  <w:pPr>
                    <w:jc w:val="center"/>
                    <w:rPr>
                      <w:sz w:val="15"/>
                      <w:szCs w:val="15"/>
                    </w:rPr>
                  </w:pPr>
                </w:p>
              </w:tc>
              <w:tc>
                <w:tcPr>
                  <w:tcW w:w="764" w:type="pct"/>
                  <w:vAlign w:val="center"/>
                </w:tcPr>
                <w:p>
                  <w:pPr>
                    <w:jc w:val="center"/>
                    <w:rPr>
                      <w:sz w:val="15"/>
                      <w:szCs w:val="15"/>
                    </w:rPr>
                  </w:pPr>
                  <w:r>
                    <w:rPr>
                      <w:rFonts w:hint="eastAsia"/>
                      <w:sz w:val="15"/>
                      <w:szCs w:val="15"/>
                    </w:rPr>
                    <w:t>物质燃烧产物</w:t>
                  </w:r>
                </w:p>
              </w:tc>
              <w:tc>
                <w:tcPr>
                  <w:tcW w:w="1133" w:type="pct"/>
                  <w:vAlign w:val="center"/>
                </w:tcPr>
                <w:p>
                  <w:pPr>
                    <w:jc w:val="center"/>
                    <w:rPr>
                      <w:sz w:val="15"/>
                      <w:szCs w:val="15"/>
                    </w:rPr>
                  </w:pPr>
                  <w:r>
                    <w:rPr>
                      <w:rFonts w:hint="eastAsia"/>
                      <w:sz w:val="15"/>
                      <w:szCs w:val="15"/>
                    </w:rPr>
                    <w:t>大气扩散</w:t>
                  </w:r>
                </w:p>
              </w:tc>
              <w:tc>
                <w:tcPr>
                  <w:tcW w:w="1331" w:type="pct"/>
                  <w:vAlign w:val="center"/>
                </w:tcPr>
                <w:p>
                  <w:pPr>
                    <w:jc w:val="center"/>
                    <w:rPr>
                      <w:sz w:val="15"/>
                      <w:szCs w:val="15"/>
                    </w:rPr>
                  </w:pPr>
                  <w:r>
                    <w:rPr>
                      <w:rFonts w:hint="eastAsia"/>
                      <w:sz w:val="15"/>
                      <w:szCs w:val="15"/>
                    </w:rPr>
                    <w:t>大气环境</w:t>
                  </w:r>
                </w:p>
              </w:tc>
              <w:tc>
                <w:tcPr>
                  <w:tcW w:w="1232" w:type="pct"/>
                  <w:vAlign w:val="center"/>
                </w:tcPr>
                <w:p>
                  <w:pPr>
                    <w:jc w:val="center"/>
                    <w:rPr>
                      <w:sz w:val="15"/>
                      <w:szCs w:val="15"/>
                    </w:rPr>
                  </w:pPr>
                  <w:r>
                    <w:rPr>
                      <w:rFonts w:hint="eastAsia"/>
                      <w:sz w:val="15"/>
                      <w:szCs w:val="15"/>
                    </w:rPr>
                    <w:t>人群急性、慢性伤害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41" w:type="pct"/>
                  <w:vMerge w:val="continue"/>
                  <w:vAlign w:val="center"/>
                </w:tcPr>
                <w:p>
                  <w:pPr>
                    <w:jc w:val="center"/>
                    <w:rPr>
                      <w:sz w:val="15"/>
                      <w:szCs w:val="15"/>
                    </w:rPr>
                  </w:pPr>
                </w:p>
              </w:tc>
              <w:tc>
                <w:tcPr>
                  <w:tcW w:w="764" w:type="pct"/>
                  <w:vAlign w:val="center"/>
                </w:tcPr>
                <w:p>
                  <w:pPr>
                    <w:jc w:val="center"/>
                    <w:rPr>
                      <w:sz w:val="15"/>
                      <w:szCs w:val="15"/>
                    </w:rPr>
                  </w:pPr>
                  <w:r>
                    <w:rPr>
                      <w:rFonts w:hint="eastAsia"/>
                      <w:sz w:val="15"/>
                      <w:szCs w:val="15"/>
                    </w:rPr>
                    <w:t>毒物挥发</w:t>
                  </w:r>
                </w:p>
              </w:tc>
              <w:tc>
                <w:tcPr>
                  <w:tcW w:w="1133" w:type="pct"/>
                  <w:vAlign w:val="center"/>
                </w:tcPr>
                <w:p>
                  <w:pPr>
                    <w:jc w:val="center"/>
                    <w:rPr>
                      <w:sz w:val="15"/>
                      <w:szCs w:val="15"/>
                    </w:rPr>
                  </w:pPr>
                  <w:r>
                    <w:rPr>
                      <w:rFonts w:hint="eastAsia"/>
                      <w:sz w:val="15"/>
                      <w:szCs w:val="15"/>
                    </w:rPr>
                    <w:t>大气扩散</w:t>
                  </w:r>
                </w:p>
              </w:tc>
              <w:tc>
                <w:tcPr>
                  <w:tcW w:w="1331" w:type="pct"/>
                  <w:vAlign w:val="center"/>
                </w:tcPr>
                <w:p>
                  <w:pPr>
                    <w:jc w:val="center"/>
                    <w:rPr>
                      <w:sz w:val="15"/>
                      <w:szCs w:val="15"/>
                    </w:rPr>
                  </w:pPr>
                  <w:r>
                    <w:rPr>
                      <w:rFonts w:hint="eastAsia"/>
                      <w:sz w:val="15"/>
                      <w:szCs w:val="15"/>
                    </w:rPr>
                    <w:t>大气环境</w:t>
                  </w:r>
                </w:p>
              </w:tc>
              <w:tc>
                <w:tcPr>
                  <w:tcW w:w="1232" w:type="pct"/>
                  <w:vAlign w:val="center"/>
                </w:tcPr>
                <w:p>
                  <w:pPr>
                    <w:jc w:val="center"/>
                    <w:rPr>
                      <w:sz w:val="15"/>
                      <w:szCs w:val="15"/>
                    </w:rPr>
                  </w:pPr>
                  <w:r>
                    <w:rPr>
                      <w:rFonts w:hint="eastAsia"/>
                      <w:sz w:val="15"/>
                      <w:szCs w:val="15"/>
                    </w:rPr>
                    <w:t>人群急性、慢性伤害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vMerge w:val="continue"/>
                  <w:vAlign w:val="center"/>
                </w:tcPr>
                <w:p>
                  <w:pPr>
                    <w:jc w:val="center"/>
                    <w:rPr>
                      <w:sz w:val="15"/>
                      <w:szCs w:val="15"/>
                    </w:rPr>
                  </w:pPr>
                </w:p>
              </w:tc>
              <w:tc>
                <w:tcPr>
                  <w:tcW w:w="764" w:type="pct"/>
                  <w:vAlign w:val="center"/>
                </w:tcPr>
                <w:p>
                  <w:pPr>
                    <w:jc w:val="center"/>
                    <w:rPr>
                      <w:sz w:val="15"/>
                      <w:szCs w:val="15"/>
                    </w:rPr>
                  </w:pPr>
                  <w:r>
                    <w:rPr>
                      <w:rFonts w:hint="eastAsia"/>
                      <w:sz w:val="15"/>
                      <w:szCs w:val="15"/>
                    </w:rPr>
                    <w:t>伴生/次生产物</w:t>
                  </w:r>
                </w:p>
              </w:tc>
              <w:tc>
                <w:tcPr>
                  <w:tcW w:w="1133" w:type="pct"/>
                  <w:vAlign w:val="center"/>
                </w:tcPr>
                <w:p>
                  <w:pPr>
                    <w:jc w:val="center"/>
                    <w:rPr>
                      <w:sz w:val="15"/>
                      <w:szCs w:val="15"/>
                    </w:rPr>
                  </w:pPr>
                  <w:r>
                    <w:rPr>
                      <w:rFonts w:hint="eastAsia"/>
                      <w:sz w:val="15"/>
                      <w:szCs w:val="15"/>
                    </w:rPr>
                    <w:t>大气扩散</w:t>
                  </w:r>
                </w:p>
              </w:tc>
              <w:tc>
                <w:tcPr>
                  <w:tcW w:w="1331" w:type="pct"/>
                  <w:vAlign w:val="center"/>
                </w:tcPr>
                <w:p>
                  <w:pPr>
                    <w:jc w:val="center"/>
                    <w:rPr>
                      <w:sz w:val="15"/>
                      <w:szCs w:val="15"/>
                    </w:rPr>
                  </w:pPr>
                  <w:r>
                    <w:rPr>
                      <w:rFonts w:hint="eastAsia"/>
                      <w:sz w:val="15"/>
                      <w:szCs w:val="15"/>
                    </w:rPr>
                    <w:t>大气环境</w:t>
                  </w:r>
                </w:p>
              </w:tc>
              <w:tc>
                <w:tcPr>
                  <w:tcW w:w="1232" w:type="pct"/>
                  <w:vAlign w:val="center"/>
                </w:tcPr>
                <w:p>
                  <w:pPr>
                    <w:jc w:val="center"/>
                    <w:rPr>
                      <w:sz w:val="15"/>
                      <w:szCs w:val="15"/>
                    </w:rPr>
                  </w:pPr>
                  <w:r>
                    <w:rPr>
                      <w:rFonts w:hint="eastAsia"/>
                      <w:sz w:val="15"/>
                      <w:szCs w:val="15"/>
                    </w:rPr>
                    <w:t>人群急性、慢性伤害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vMerge w:val="continue"/>
                  <w:vAlign w:val="center"/>
                </w:tcPr>
                <w:p>
                  <w:pPr>
                    <w:jc w:val="center"/>
                    <w:rPr>
                      <w:sz w:val="15"/>
                      <w:szCs w:val="15"/>
                    </w:rPr>
                  </w:pPr>
                </w:p>
              </w:tc>
              <w:tc>
                <w:tcPr>
                  <w:tcW w:w="764" w:type="pct"/>
                  <w:vAlign w:val="center"/>
                </w:tcPr>
                <w:p>
                  <w:pPr>
                    <w:jc w:val="center"/>
                    <w:rPr>
                      <w:sz w:val="15"/>
                      <w:szCs w:val="15"/>
                    </w:rPr>
                  </w:pPr>
                  <w:r>
                    <w:rPr>
                      <w:rFonts w:hint="eastAsia"/>
                      <w:sz w:val="15"/>
                      <w:szCs w:val="15"/>
                    </w:rPr>
                    <w:t>事故消防水</w:t>
                  </w:r>
                </w:p>
              </w:tc>
              <w:tc>
                <w:tcPr>
                  <w:tcW w:w="1133" w:type="pct"/>
                  <w:vAlign w:val="center"/>
                </w:tcPr>
                <w:p>
                  <w:pPr>
                    <w:jc w:val="center"/>
                    <w:rPr>
                      <w:sz w:val="15"/>
                      <w:szCs w:val="15"/>
                    </w:rPr>
                  </w:pPr>
                  <w:r>
                    <w:rPr>
                      <w:rFonts w:hint="eastAsia"/>
                      <w:sz w:val="15"/>
                      <w:szCs w:val="15"/>
                    </w:rPr>
                    <w:t>水体运输、地下水扩散</w:t>
                  </w:r>
                </w:p>
              </w:tc>
              <w:tc>
                <w:tcPr>
                  <w:tcW w:w="1331" w:type="pct"/>
                  <w:vAlign w:val="center"/>
                </w:tcPr>
                <w:p>
                  <w:pPr>
                    <w:jc w:val="center"/>
                    <w:rPr>
                      <w:sz w:val="15"/>
                      <w:szCs w:val="15"/>
                    </w:rPr>
                  </w:pPr>
                  <w:r>
                    <w:rPr>
                      <w:rFonts w:hint="eastAsia"/>
                      <w:sz w:val="15"/>
                      <w:szCs w:val="15"/>
                    </w:rPr>
                    <w:t>地表水、地下水、土壤环境</w:t>
                  </w:r>
                </w:p>
              </w:tc>
              <w:tc>
                <w:tcPr>
                  <w:tcW w:w="1232" w:type="pct"/>
                  <w:vAlign w:val="center"/>
                </w:tcPr>
                <w:p>
                  <w:pPr>
                    <w:jc w:val="center"/>
                    <w:rPr>
                      <w:sz w:val="15"/>
                      <w:szCs w:val="15"/>
                    </w:rPr>
                  </w:pPr>
                  <w:r>
                    <w:rPr>
                      <w:rFonts w:hint="eastAsia"/>
                      <w:sz w:val="15"/>
                      <w:szCs w:val="15"/>
                    </w:rPr>
                    <w:t>水体、土壤、生态污染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vMerge w:val="continue"/>
                  <w:vAlign w:val="center"/>
                </w:tcPr>
                <w:p>
                  <w:pPr>
                    <w:jc w:val="center"/>
                    <w:rPr>
                      <w:sz w:val="15"/>
                      <w:szCs w:val="15"/>
                    </w:rPr>
                  </w:pPr>
                </w:p>
              </w:tc>
              <w:tc>
                <w:tcPr>
                  <w:tcW w:w="764" w:type="pct"/>
                  <w:vAlign w:val="center"/>
                </w:tcPr>
                <w:p>
                  <w:pPr>
                    <w:jc w:val="center"/>
                    <w:rPr>
                      <w:sz w:val="15"/>
                      <w:szCs w:val="15"/>
                    </w:rPr>
                  </w:pPr>
                  <w:r>
                    <w:rPr>
                      <w:rFonts w:hint="eastAsia"/>
                      <w:sz w:val="15"/>
                      <w:szCs w:val="15"/>
                    </w:rPr>
                    <w:t>事故固体废物</w:t>
                  </w:r>
                </w:p>
              </w:tc>
              <w:tc>
                <w:tcPr>
                  <w:tcW w:w="1133" w:type="pct"/>
                  <w:vAlign w:val="center"/>
                </w:tcPr>
                <w:p>
                  <w:pPr>
                    <w:jc w:val="center"/>
                    <w:rPr>
                      <w:sz w:val="15"/>
                      <w:szCs w:val="15"/>
                    </w:rPr>
                  </w:pPr>
                  <w:r>
                    <w:rPr>
                      <w:rFonts w:hint="eastAsia"/>
                      <w:sz w:val="15"/>
                      <w:szCs w:val="15"/>
                    </w:rPr>
                    <w:t>土壤</w:t>
                  </w:r>
                </w:p>
              </w:tc>
              <w:tc>
                <w:tcPr>
                  <w:tcW w:w="1331" w:type="pct"/>
                  <w:vAlign w:val="center"/>
                </w:tcPr>
                <w:p>
                  <w:pPr>
                    <w:jc w:val="center"/>
                    <w:rPr>
                      <w:sz w:val="15"/>
                      <w:szCs w:val="15"/>
                    </w:rPr>
                  </w:pPr>
                  <w:r>
                    <w:rPr>
                      <w:rFonts w:hint="eastAsia"/>
                      <w:sz w:val="15"/>
                      <w:szCs w:val="15"/>
                    </w:rPr>
                    <w:t>地下水、生态环境</w:t>
                  </w:r>
                </w:p>
              </w:tc>
              <w:tc>
                <w:tcPr>
                  <w:tcW w:w="1232" w:type="pct"/>
                  <w:vAlign w:val="center"/>
                </w:tcPr>
                <w:p>
                  <w:pPr>
                    <w:jc w:val="center"/>
                    <w:rPr>
                      <w:sz w:val="15"/>
                      <w:szCs w:val="15"/>
                    </w:rPr>
                  </w:pPr>
                  <w:r>
                    <w:rPr>
                      <w:rFonts w:hint="eastAsia"/>
                      <w:sz w:val="15"/>
                      <w:szCs w:val="15"/>
                    </w:rPr>
                    <w:t>水体、土壤、生态污染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41" w:type="pct"/>
                  <w:vMerge w:val="restart"/>
                  <w:vAlign w:val="center"/>
                </w:tcPr>
                <w:p>
                  <w:pPr>
                    <w:jc w:val="center"/>
                    <w:rPr>
                      <w:sz w:val="15"/>
                      <w:szCs w:val="15"/>
                    </w:rPr>
                  </w:pPr>
                  <w:r>
                    <w:rPr>
                      <w:rFonts w:hint="eastAsia"/>
                      <w:sz w:val="15"/>
                      <w:szCs w:val="15"/>
                    </w:rPr>
                    <w:t>毒物泄漏</w:t>
                  </w:r>
                </w:p>
              </w:tc>
              <w:tc>
                <w:tcPr>
                  <w:tcW w:w="764" w:type="pct"/>
                  <w:vAlign w:val="center"/>
                </w:tcPr>
                <w:p>
                  <w:pPr>
                    <w:jc w:val="center"/>
                    <w:rPr>
                      <w:sz w:val="15"/>
                      <w:szCs w:val="15"/>
                    </w:rPr>
                  </w:pPr>
                  <w:r>
                    <w:rPr>
                      <w:rFonts w:hint="eastAsia"/>
                      <w:sz w:val="15"/>
                      <w:szCs w:val="15"/>
                    </w:rPr>
                    <w:t>毒物挥发</w:t>
                  </w:r>
                </w:p>
              </w:tc>
              <w:tc>
                <w:tcPr>
                  <w:tcW w:w="1133" w:type="pct"/>
                  <w:vAlign w:val="center"/>
                </w:tcPr>
                <w:p>
                  <w:pPr>
                    <w:jc w:val="center"/>
                    <w:rPr>
                      <w:sz w:val="15"/>
                      <w:szCs w:val="15"/>
                    </w:rPr>
                  </w:pPr>
                  <w:r>
                    <w:rPr>
                      <w:rFonts w:hint="eastAsia"/>
                      <w:sz w:val="15"/>
                      <w:szCs w:val="15"/>
                    </w:rPr>
                    <w:t>大气</w:t>
                  </w:r>
                </w:p>
              </w:tc>
              <w:tc>
                <w:tcPr>
                  <w:tcW w:w="1331" w:type="pct"/>
                  <w:vAlign w:val="center"/>
                </w:tcPr>
                <w:p>
                  <w:pPr>
                    <w:jc w:val="center"/>
                    <w:rPr>
                      <w:sz w:val="15"/>
                      <w:szCs w:val="15"/>
                    </w:rPr>
                  </w:pPr>
                  <w:r>
                    <w:rPr>
                      <w:rFonts w:hint="eastAsia"/>
                      <w:sz w:val="15"/>
                      <w:szCs w:val="15"/>
                    </w:rPr>
                    <w:t>大气环境</w:t>
                  </w:r>
                </w:p>
              </w:tc>
              <w:tc>
                <w:tcPr>
                  <w:tcW w:w="1232" w:type="pct"/>
                  <w:vAlign w:val="center"/>
                </w:tcPr>
                <w:p>
                  <w:pPr>
                    <w:jc w:val="center"/>
                    <w:rPr>
                      <w:sz w:val="15"/>
                      <w:szCs w:val="15"/>
                    </w:rPr>
                  </w:pPr>
                  <w:r>
                    <w:rPr>
                      <w:rFonts w:hint="eastAsia"/>
                      <w:sz w:val="15"/>
                      <w:szCs w:val="15"/>
                    </w:rPr>
                    <w:t>人群急性危害、慢性伤害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vMerge w:val="continue"/>
                  <w:vAlign w:val="center"/>
                </w:tcPr>
                <w:p>
                  <w:pPr>
                    <w:jc w:val="center"/>
                    <w:rPr>
                      <w:sz w:val="15"/>
                      <w:szCs w:val="15"/>
                    </w:rPr>
                  </w:pPr>
                </w:p>
              </w:tc>
              <w:tc>
                <w:tcPr>
                  <w:tcW w:w="764" w:type="pct"/>
                  <w:vAlign w:val="center"/>
                </w:tcPr>
                <w:p>
                  <w:pPr>
                    <w:jc w:val="center"/>
                    <w:rPr>
                      <w:sz w:val="15"/>
                      <w:szCs w:val="15"/>
                    </w:rPr>
                  </w:pPr>
                  <w:r>
                    <w:rPr>
                      <w:rFonts w:hint="eastAsia"/>
                      <w:sz w:val="15"/>
                      <w:szCs w:val="15"/>
                    </w:rPr>
                    <w:t>事故喷淋水</w:t>
                  </w:r>
                </w:p>
              </w:tc>
              <w:tc>
                <w:tcPr>
                  <w:tcW w:w="1133" w:type="pct"/>
                  <w:vAlign w:val="center"/>
                </w:tcPr>
                <w:p>
                  <w:pPr>
                    <w:jc w:val="center"/>
                    <w:rPr>
                      <w:sz w:val="15"/>
                      <w:szCs w:val="15"/>
                    </w:rPr>
                  </w:pPr>
                  <w:r>
                    <w:rPr>
                      <w:rFonts w:hint="eastAsia"/>
                      <w:sz w:val="15"/>
                      <w:szCs w:val="15"/>
                    </w:rPr>
                    <w:t>水体运输、地下水扩散</w:t>
                  </w:r>
                </w:p>
              </w:tc>
              <w:tc>
                <w:tcPr>
                  <w:tcW w:w="1331" w:type="pct"/>
                  <w:vAlign w:val="center"/>
                </w:tcPr>
                <w:p>
                  <w:pPr>
                    <w:jc w:val="center"/>
                    <w:rPr>
                      <w:sz w:val="15"/>
                      <w:szCs w:val="15"/>
                    </w:rPr>
                  </w:pPr>
                  <w:r>
                    <w:rPr>
                      <w:rFonts w:hint="eastAsia"/>
                      <w:sz w:val="15"/>
                      <w:szCs w:val="15"/>
                    </w:rPr>
                    <w:t>地表水、地下水、土壤环境</w:t>
                  </w:r>
                </w:p>
              </w:tc>
              <w:tc>
                <w:tcPr>
                  <w:tcW w:w="1232" w:type="pct"/>
                  <w:vAlign w:val="center"/>
                </w:tcPr>
                <w:p>
                  <w:pPr>
                    <w:jc w:val="center"/>
                    <w:rPr>
                      <w:sz w:val="15"/>
                      <w:szCs w:val="15"/>
                    </w:rPr>
                  </w:pPr>
                  <w:r>
                    <w:rPr>
                      <w:rFonts w:hint="eastAsia"/>
                      <w:sz w:val="15"/>
                      <w:szCs w:val="15"/>
                    </w:rPr>
                    <w:t>水体、土壤、生态污染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vMerge w:val="continue"/>
                  <w:vAlign w:val="center"/>
                </w:tcPr>
                <w:p>
                  <w:pPr>
                    <w:jc w:val="center"/>
                    <w:rPr>
                      <w:sz w:val="15"/>
                      <w:szCs w:val="15"/>
                    </w:rPr>
                  </w:pPr>
                </w:p>
              </w:tc>
              <w:tc>
                <w:tcPr>
                  <w:tcW w:w="764" w:type="pct"/>
                  <w:vAlign w:val="center"/>
                </w:tcPr>
                <w:p>
                  <w:pPr>
                    <w:jc w:val="center"/>
                    <w:rPr>
                      <w:sz w:val="15"/>
                      <w:szCs w:val="15"/>
                    </w:rPr>
                  </w:pPr>
                  <w:r>
                    <w:rPr>
                      <w:rFonts w:hint="eastAsia"/>
                      <w:sz w:val="15"/>
                      <w:szCs w:val="15"/>
                    </w:rPr>
                    <w:t>事故固体废物</w:t>
                  </w:r>
                </w:p>
              </w:tc>
              <w:tc>
                <w:tcPr>
                  <w:tcW w:w="1133" w:type="pct"/>
                  <w:vAlign w:val="center"/>
                </w:tcPr>
                <w:p>
                  <w:pPr>
                    <w:jc w:val="center"/>
                    <w:rPr>
                      <w:sz w:val="15"/>
                      <w:szCs w:val="15"/>
                    </w:rPr>
                  </w:pPr>
                  <w:r>
                    <w:rPr>
                      <w:rFonts w:hint="eastAsia"/>
                      <w:sz w:val="15"/>
                      <w:szCs w:val="15"/>
                    </w:rPr>
                    <w:t>土壤</w:t>
                  </w:r>
                </w:p>
              </w:tc>
              <w:tc>
                <w:tcPr>
                  <w:tcW w:w="1331" w:type="pct"/>
                  <w:vAlign w:val="center"/>
                </w:tcPr>
                <w:p>
                  <w:pPr>
                    <w:jc w:val="center"/>
                    <w:rPr>
                      <w:sz w:val="15"/>
                      <w:szCs w:val="15"/>
                    </w:rPr>
                  </w:pPr>
                  <w:r>
                    <w:rPr>
                      <w:rFonts w:hint="eastAsia"/>
                      <w:sz w:val="15"/>
                      <w:szCs w:val="15"/>
                    </w:rPr>
                    <w:t>地下水、生态环境</w:t>
                  </w:r>
                </w:p>
              </w:tc>
              <w:tc>
                <w:tcPr>
                  <w:tcW w:w="1232" w:type="pct"/>
                  <w:vAlign w:val="center"/>
                </w:tcPr>
                <w:p>
                  <w:pPr>
                    <w:jc w:val="center"/>
                    <w:rPr>
                      <w:sz w:val="15"/>
                      <w:szCs w:val="15"/>
                    </w:rPr>
                  </w:pPr>
                  <w:r>
                    <w:rPr>
                      <w:rFonts w:hint="eastAsia"/>
                      <w:sz w:val="15"/>
                      <w:szCs w:val="15"/>
                    </w:rPr>
                    <w:t>水体、土壤、生态污染</w:t>
                  </w:r>
                </w:p>
              </w:tc>
            </w:tr>
          </w:tbl>
          <w:p>
            <w:pPr>
              <w:pStyle w:val="63"/>
              <w:keepNext/>
              <w:keepLines/>
              <w:pageBreakBefore w:val="0"/>
              <w:adjustRightInd w:val="0"/>
              <w:rPr>
                <w:rFonts w:ascii="Times New Roman" w:hAnsi="Times New Roman"/>
                <w:bCs/>
                <w:sz w:val="24"/>
                <w:szCs w:val="24"/>
              </w:rPr>
            </w:pPr>
            <w:r>
              <w:rPr>
                <w:rFonts w:hint="eastAsia" w:ascii="Times New Roman" w:hAnsi="Times New Roman"/>
                <w:bCs/>
                <w:sz w:val="24"/>
                <w:szCs w:val="24"/>
              </w:rPr>
              <w:t>2、环境风险防范措施</w:t>
            </w:r>
          </w:p>
          <w:p>
            <w:pPr>
              <w:pStyle w:val="63"/>
              <w:keepNext/>
              <w:keepLines/>
              <w:adjustRightInd w:val="0"/>
              <w:ind w:firstLine="480" w:firstLineChars="200"/>
              <w:rPr>
                <w:rFonts w:ascii="Times New Roman" w:hAnsi="Times New Roman"/>
                <w:b w:val="0"/>
                <w:sz w:val="24"/>
                <w:szCs w:val="24"/>
              </w:rPr>
            </w:pPr>
            <w:r>
              <w:rPr>
                <w:rFonts w:hint="eastAsia" w:ascii="Times New Roman" w:hAnsi="Times New Roman"/>
                <w:b w:val="0"/>
                <w:sz w:val="24"/>
                <w:szCs w:val="24"/>
              </w:rPr>
              <w:t>①项目危废暂存间内部设置围堰并进行重点防渗处理，定期进行检查，检查的重点为有无人为破坏，有无泄漏，做到有问题及时发现，及时处理；</w:t>
            </w:r>
          </w:p>
          <w:p>
            <w:pPr>
              <w:pStyle w:val="63"/>
              <w:keepNext/>
              <w:keepLines/>
              <w:adjustRightInd w:val="0"/>
              <w:ind w:firstLine="480" w:firstLineChars="200"/>
              <w:rPr>
                <w:rFonts w:ascii="Times New Roman" w:hAnsi="Times New Roman"/>
                <w:b w:val="0"/>
                <w:sz w:val="24"/>
                <w:szCs w:val="24"/>
              </w:rPr>
            </w:pPr>
            <w:r>
              <w:rPr>
                <w:rFonts w:hint="eastAsia"/>
                <w:b w:val="0"/>
                <w:sz w:val="24"/>
                <w:szCs w:val="24"/>
              </w:rPr>
              <w:t>②</w:t>
            </w:r>
            <w:r>
              <w:rPr>
                <w:rFonts w:hint="eastAsia" w:ascii="Times New Roman" w:hAnsi="Times New Roman"/>
                <w:b w:val="0"/>
                <w:sz w:val="24"/>
                <w:szCs w:val="24"/>
              </w:rPr>
              <w:t>危险废物在厂区使用专用容器，并将收集容器贴上标签，存储于危废暂存间内委托有资质的单位处理。在运输前到当地环保部门提交危废转移申请表，领取危险废物转移联单，在运输过程中严格按要求填写“五联单”，转移完成后将相应联单提交到相关单位，并且建立台账，并与有资质的单位签危险废物处理书面协议。危废暂存间必须派专人进行管理，并严格执行危废暂存间的管理制度，降低管理产生的风险。</w:t>
            </w:r>
          </w:p>
          <w:p>
            <w:pPr>
              <w:pStyle w:val="63"/>
              <w:keepNext/>
              <w:keepLines/>
              <w:adjustRightInd w:val="0"/>
              <w:ind w:firstLine="480" w:firstLineChars="200"/>
              <w:rPr>
                <w:b w:val="0"/>
                <w:sz w:val="24"/>
                <w:szCs w:val="24"/>
              </w:rPr>
            </w:pPr>
            <w:r>
              <w:rPr>
                <w:rFonts w:hint="eastAsia"/>
                <w:b w:val="0"/>
                <w:sz w:val="24"/>
                <w:szCs w:val="24"/>
              </w:rPr>
              <w:t>③暂存</w:t>
            </w:r>
            <w:r>
              <w:rPr>
                <w:b w:val="0"/>
                <w:sz w:val="24"/>
                <w:szCs w:val="24"/>
              </w:rPr>
              <w:t>区需设置符合标准的灭火设备，设置明显的警示牌，告诫禁止明火、禁止吸烟。</w:t>
            </w:r>
          </w:p>
          <w:p>
            <w:pPr>
              <w:pStyle w:val="63"/>
              <w:keepNext/>
              <w:keepLines/>
              <w:adjustRightInd w:val="0"/>
              <w:ind w:firstLine="480" w:firstLineChars="200"/>
              <w:rPr>
                <w:b w:val="0"/>
                <w:sz w:val="24"/>
                <w:szCs w:val="24"/>
              </w:rPr>
            </w:pPr>
            <w:r>
              <w:rPr>
                <w:rFonts w:hint="eastAsia"/>
                <w:b w:val="0"/>
                <w:sz w:val="24"/>
                <w:szCs w:val="24"/>
              </w:rPr>
              <w:t>④</w:t>
            </w:r>
            <w:r>
              <w:rPr>
                <w:b w:val="0"/>
                <w:sz w:val="24"/>
                <w:szCs w:val="24"/>
              </w:rPr>
              <w:t>加强对</w:t>
            </w:r>
            <w:r>
              <w:rPr>
                <w:rFonts w:hint="eastAsia"/>
                <w:b w:val="0"/>
                <w:sz w:val="24"/>
                <w:szCs w:val="24"/>
              </w:rPr>
              <w:t>油桶</w:t>
            </w:r>
            <w:r>
              <w:rPr>
                <w:b w:val="0"/>
                <w:sz w:val="24"/>
                <w:szCs w:val="24"/>
              </w:rPr>
              <w:t>渗漏的防护，对</w:t>
            </w:r>
            <w:r>
              <w:rPr>
                <w:rFonts w:hint="eastAsia"/>
                <w:b w:val="0"/>
                <w:sz w:val="24"/>
                <w:szCs w:val="24"/>
              </w:rPr>
              <w:t>储存区</w:t>
            </w:r>
            <w:r>
              <w:rPr>
                <w:b w:val="0"/>
                <w:sz w:val="24"/>
                <w:szCs w:val="24"/>
              </w:rPr>
              <w:t>进行定期检</w:t>
            </w:r>
            <w:r>
              <w:rPr>
                <w:rFonts w:hint="eastAsia"/>
                <w:b w:val="0"/>
                <w:sz w:val="24"/>
                <w:szCs w:val="24"/>
              </w:rPr>
              <w:t>查</w:t>
            </w:r>
            <w:r>
              <w:rPr>
                <w:b w:val="0"/>
                <w:sz w:val="24"/>
                <w:szCs w:val="24"/>
              </w:rPr>
              <w:t>，对泄漏到围堰内的物料应使用临时抽吸系统尽快收集，减少着火的机会，</w:t>
            </w:r>
            <w:r>
              <w:rPr>
                <w:rFonts w:hint="eastAsia"/>
                <w:b w:val="0"/>
                <w:sz w:val="24"/>
                <w:szCs w:val="24"/>
              </w:rPr>
              <w:t>一旦</w:t>
            </w:r>
            <w:r>
              <w:rPr>
                <w:b w:val="0"/>
                <w:sz w:val="24"/>
                <w:szCs w:val="24"/>
              </w:rPr>
              <w:t>发生火灾事故，要尽快使用已有的消防设施扑救，疏散周围人群，远离事故区。</w:t>
            </w:r>
          </w:p>
          <w:p>
            <w:pPr>
              <w:pStyle w:val="63"/>
              <w:keepNext/>
              <w:keepLines/>
              <w:adjustRightInd w:val="0"/>
              <w:ind w:firstLine="480" w:firstLineChars="200"/>
              <w:rPr>
                <w:b w:val="0"/>
                <w:sz w:val="24"/>
                <w:szCs w:val="24"/>
              </w:rPr>
            </w:pPr>
            <w:r>
              <w:rPr>
                <w:rFonts w:hint="eastAsia"/>
                <w:b w:val="0"/>
                <w:sz w:val="24"/>
                <w:szCs w:val="24"/>
              </w:rPr>
              <w:t>⑤</w:t>
            </w:r>
            <w:r>
              <w:rPr>
                <w:b w:val="0"/>
                <w:sz w:val="24"/>
                <w:szCs w:val="24"/>
              </w:rPr>
              <w:t>危险废物在厂区使用专用容器，并将收集容器贴上标签，存储于危废暂存间内委托有资质的单位处理。在运输前到当地环保部门提交危废转移申请表，领取危险废物转移联单，在运输过程中严格按要求填写“五联单”，转移完成后将相应联单提交到相关单位，并且建立台账，并与有资质的单位签危险废物处理书面协议。危废暂存间必须派专人进行管理，并严格执行危废暂存间的管理制度，降低管理产生的风险。</w:t>
            </w:r>
          </w:p>
          <w:p>
            <w:pPr>
              <w:pStyle w:val="63"/>
              <w:keepNext/>
              <w:keepLines/>
              <w:adjustRightInd w:val="0"/>
              <w:ind w:firstLine="480" w:firstLineChars="200"/>
              <w:rPr>
                <w:rFonts w:ascii="Times New Roman" w:hAnsi="Times New Roman"/>
                <w:b w:val="0"/>
                <w:sz w:val="24"/>
                <w:szCs w:val="24"/>
              </w:rPr>
            </w:pPr>
            <w:r>
              <w:rPr>
                <w:rFonts w:hint="eastAsia"/>
                <w:b w:val="0"/>
                <w:sz w:val="24"/>
                <w:szCs w:val="24"/>
              </w:rPr>
              <w:t>⑥</w:t>
            </w:r>
            <w:r>
              <w:rPr>
                <w:b w:val="0"/>
                <w:sz w:val="24"/>
                <w:szCs w:val="24"/>
              </w:rPr>
              <w:t>加强员工的责任心和</w:t>
            </w:r>
            <w:r>
              <w:rPr>
                <w:rFonts w:hint="eastAsia"/>
                <w:b w:val="0"/>
                <w:sz w:val="24"/>
                <w:szCs w:val="24"/>
                <w:lang w:eastAsia="zh-CN"/>
              </w:rPr>
              <w:t>主观能动性</w:t>
            </w:r>
            <w:r>
              <w:rPr>
                <w:b w:val="0"/>
                <w:sz w:val="24"/>
                <w:szCs w:val="24"/>
              </w:rPr>
              <w:t>；完善并严格遵守相关的操作规程，加强岗位培训，落实岗位责任制；加强设备管理，对易发生渗漏的部位加强检查；建立一套完善的安全管理制度，执行工业安全卫生、劳动保护、环保、消防等相关规定。</w:t>
            </w:r>
          </w:p>
        </w:tc>
      </w:tr>
      <w:bookmarkEnd w:id="9"/>
      <w:bookmarkEnd w:id="48"/>
    </w:tbl>
    <w:p>
      <w:pPr>
        <w:adjustRightInd w:val="0"/>
        <w:snapToGrid w:val="0"/>
        <w:spacing w:line="360" w:lineRule="auto"/>
        <w:rPr>
          <w:b/>
          <w:kern w:val="0"/>
          <w:sz w:val="28"/>
          <w:szCs w:val="28"/>
        </w:rPr>
        <w:sectPr>
          <w:pgSz w:w="11907" w:h="16840"/>
          <w:pgMar w:top="1701" w:right="1531" w:bottom="2127" w:left="1531" w:header="851" w:footer="851" w:gutter="0"/>
          <w:cols w:space="720" w:num="1"/>
          <w:docGrid w:linePitch="312" w:charSpace="0"/>
        </w:sectPr>
      </w:pPr>
    </w:p>
    <w:p>
      <w:pPr>
        <w:pStyle w:val="30"/>
        <w:spacing w:before="0" w:beforeAutospacing="0" w:after="0" w:afterAutospacing="0"/>
        <w:jc w:val="center"/>
        <w:outlineLvl w:val="0"/>
        <w:rPr>
          <w:rFonts w:ascii="黑体" w:hAnsi="黑体" w:eastAsia="黑体"/>
          <w:b/>
          <w:bCs/>
          <w:snapToGrid w:val="0"/>
          <w:sz w:val="30"/>
          <w:szCs w:val="30"/>
        </w:rPr>
      </w:pPr>
      <w:bookmarkStart w:id="61" w:name="_Toc140064123"/>
      <w:r>
        <w:rPr>
          <w:rFonts w:ascii="黑体" w:hAnsi="黑体" w:eastAsia="黑体"/>
          <w:b/>
          <w:bCs/>
          <w:snapToGrid w:val="0"/>
          <w:sz w:val="30"/>
          <w:szCs w:val="30"/>
        </w:rPr>
        <w:t>五、</w:t>
      </w:r>
      <w:bookmarkStart w:id="62" w:name="_Hlk54167917"/>
      <w:r>
        <w:rPr>
          <w:rFonts w:ascii="黑体" w:hAnsi="黑体" w:eastAsia="黑体"/>
          <w:b/>
          <w:bCs/>
          <w:snapToGrid w:val="0"/>
          <w:sz w:val="30"/>
          <w:szCs w:val="30"/>
        </w:rPr>
        <w:t>环境保护措施监督检查清单</w:t>
      </w:r>
      <w:bookmarkEnd w:id="61"/>
      <w:bookmarkEnd w:id="62"/>
    </w:p>
    <w:tbl>
      <w:tblPr>
        <w:tblStyle w:val="32"/>
        <w:tblpPr w:leftFromText="180" w:rightFromText="180" w:vertAnchor="text" w:tblpXSpec="center" w:tblpY="1"/>
        <w:tblOverlap w:val="never"/>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66"/>
        <w:gridCol w:w="684"/>
        <w:gridCol w:w="711"/>
        <w:gridCol w:w="1849"/>
        <w:gridCol w:w="2489"/>
        <w:gridCol w:w="22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8" w:type="pct"/>
            <w:tcBorders>
              <w:top w:val="single" w:color="auto" w:sz="8" w:space="0"/>
              <w:bottom w:val="single" w:color="auto" w:sz="4" w:space="0"/>
              <w:tl2br w:val="single" w:color="auto" w:sz="4" w:space="0"/>
            </w:tcBorders>
            <w:vAlign w:val="center"/>
          </w:tcPr>
          <w:p>
            <w:pPr>
              <w:adjustRightInd w:val="0"/>
              <w:snapToGrid w:val="0"/>
              <w:jc w:val="center"/>
              <w:rPr>
                <w:b/>
                <w:bCs/>
                <w:szCs w:val="21"/>
              </w:rPr>
            </w:pPr>
            <w:r>
              <w:rPr>
                <w:b/>
                <w:bCs/>
                <w:szCs w:val="21"/>
              </w:rPr>
              <w:t>内容</w:t>
            </w:r>
          </w:p>
          <w:p>
            <w:pPr>
              <w:adjustRightInd w:val="0"/>
              <w:snapToGrid w:val="0"/>
              <w:rPr>
                <w:b/>
                <w:bCs/>
                <w:szCs w:val="21"/>
              </w:rPr>
            </w:pPr>
          </w:p>
          <w:p>
            <w:pPr>
              <w:adjustRightInd w:val="0"/>
              <w:snapToGrid w:val="0"/>
              <w:rPr>
                <w:b/>
                <w:bCs/>
                <w:szCs w:val="21"/>
              </w:rPr>
            </w:pPr>
            <w:r>
              <w:rPr>
                <w:b/>
                <w:bCs/>
                <w:szCs w:val="21"/>
              </w:rPr>
              <w:t>要素</w:t>
            </w:r>
          </w:p>
        </w:tc>
        <w:tc>
          <w:tcPr>
            <w:tcW w:w="806" w:type="pct"/>
            <w:gridSpan w:val="2"/>
            <w:tcBorders>
              <w:top w:val="single" w:color="auto" w:sz="8" w:space="0"/>
              <w:bottom w:val="single" w:color="auto" w:sz="4" w:space="0"/>
            </w:tcBorders>
            <w:vAlign w:val="center"/>
          </w:tcPr>
          <w:p>
            <w:pPr>
              <w:adjustRightInd w:val="0"/>
              <w:snapToGrid w:val="0"/>
              <w:jc w:val="center"/>
              <w:rPr>
                <w:b/>
                <w:bCs/>
                <w:szCs w:val="21"/>
              </w:rPr>
            </w:pPr>
            <w:r>
              <w:rPr>
                <w:b/>
                <w:bCs/>
                <w:szCs w:val="21"/>
              </w:rPr>
              <w:t>排放口</w:t>
            </w:r>
            <w:r>
              <w:rPr>
                <w:rFonts w:hint="eastAsia"/>
                <w:b/>
                <w:bCs/>
                <w:szCs w:val="21"/>
              </w:rPr>
              <w:t>（</w:t>
            </w:r>
            <w:r>
              <w:rPr>
                <w:b/>
                <w:bCs/>
                <w:szCs w:val="21"/>
              </w:rPr>
              <w:t>编号、名称</w:t>
            </w:r>
            <w:r>
              <w:rPr>
                <w:rFonts w:hint="eastAsia"/>
                <w:b/>
                <w:bCs/>
                <w:szCs w:val="21"/>
              </w:rPr>
              <w:t>）</w:t>
            </w:r>
            <w:r>
              <w:rPr>
                <w:b/>
                <w:bCs/>
                <w:szCs w:val="21"/>
              </w:rPr>
              <w:t>/污染源</w:t>
            </w:r>
          </w:p>
        </w:tc>
        <w:tc>
          <w:tcPr>
            <w:tcW w:w="1024" w:type="pct"/>
            <w:tcBorders>
              <w:top w:val="single" w:color="auto" w:sz="8" w:space="0"/>
              <w:bottom w:val="single" w:color="auto" w:sz="4" w:space="0"/>
            </w:tcBorders>
            <w:vAlign w:val="center"/>
          </w:tcPr>
          <w:p>
            <w:pPr>
              <w:adjustRightInd w:val="0"/>
              <w:snapToGrid w:val="0"/>
              <w:jc w:val="center"/>
              <w:rPr>
                <w:b/>
                <w:bCs/>
                <w:szCs w:val="21"/>
              </w:rPr>
            </w:pPr>
            <w:r>
              <w:rPr>
                <w:b/>
                <w:bCs/>
                <w:szCs w:val="21"/>
              </w:rPr>
              <w:t>污染物项目</w:t>
            </w:r>
          </w:p>
        </w:tc>
        <w:tc>
          <w:tcPr>
            <w:tcW w:w="1561" w:type="pct"/>
            <w:tcBorders>
              <w:top w:val="single" w:color="auto" w:sz="8" w:space="0"/>
              <w:bottom w:val="single" w:color="auto" w:sz="4" w:space="0"/>
            </w:tcBorders>
            <w:vAlign w:val="center"/>
          </w:tcPr>
          <w:p>
            <w:pPr>
              <w:adjustRightInd w:val="0"/>
              <w:snapToGrid w:val="0"/>
              <w:jc w:val="center"/>
              <w:rPr>
                <w:b/>
                <w:bCs/>
                <w:szCs w:val="21"/>
              </w:rPr>
            </w:pPr>
            <w:r>
              <w:rPr>
                <w:b/>
                <w:bCs/>
                <w:szCs w:val="21"/>
              </w:rPr>
              <w:t>环境保护措施</w:t>
            </w:r>
          </w:p>
        </w:tc>
        <w:tc>
          <w:tcPr>
            <w:tcW w:w="1221" w:type="pct"/>
            <w:tcBorders>
              <w:top w:val="single" w:color="auto" w:sz="8" w:space="0"/>
              <w:bottom w:val="single" w:color="auto" w:sz="4" w:space="0"/>
            </w:tcBorders>
            <w:vAlign w:val="center"/>
          </w:tcPr>
          <w:p>
            <w:pPr>
              <w:adjustRightInd w:val="0"/>
              <w:snapToGrid w:val="0"/>
              <w:jc w:val="center"/>
              <w:rPr>
                <w:b/>
                <w:bCs/>
                <w:szCs w:val="21"/>
              </w:rPr>
            </w:pPr>
            <w:r>
              <w:rPr>
                <w:b/>
                <w:bCs/>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8" w:type="pct"/>
            <w:vMerge w:val="restart"/>
            <w:tcBorders>
              <w:top w:val="single" w:color="auto" w:sz="4" w:space="0"/>
            </w:tcBorders>
            <w:vAlign w:val="center"/>
          </w:tcPr>
          <w:p>
            <w:pPr>
              <w:adjustRightInd w:val="0"/>
              <w:snapToGrid w:val="0"/>
              <w:jc w:val="center"/>
              <w:rPr>
                <w:szCs w:val="21"/>
              </w:rPr>
            </w:pPr>
            <w:r>
              <w:rPr>
                <w:rFonts w:hint="eastAsia"/>
                <w:szCs w:val="21"/>
              </w:rPr>
              <w:t>大气环境</w:t>
            </w:r>
          </w:p>
        </w:tc>
        <w:tc>
          <w:tcPr>
            <w:tcW w:w="806" w:type="pct"/>
            <w:gridSpan w:val="2"/>
            <w:tcBorders>
              <w:top w:val="single" w:color="auto" w:sz="4" w:space="0"/>
              <w:bottom w:val="single" w:color="auto" w:sz="4" w:space="0"/>
            </w:tcBorders>
            <w:vAlign w:val="center"/>
          </w:tcPr>
          <w:p>
            <w:pPr>
              <w:adjustRightInd w:val="0"/>
              <w:snapToGrid w:val="0"/>
              <w:jc w:val="center"/>
              <w:rPr>
                <w:color w:val="0000FF"/>
                <w:szCs w:val="21"/>
              </w:rPr>
            </w:pPr>
            <w:r>
              <w:rPr>
                <w:color w:val="0000FF"/>
                <w:szCs w:val="21"/>
              </w:rPr>
              <w:t>排气筒（DA001）</w:t>
            </w:r>
          </w:p>
        </w:tc>
        <w:tc>
          <w:tcPr>
            <w:tcW w:w="1024" w:type="pct"/>
            <w:tcBorders>
              <w:top w:val="single" w:color="auto" w:sz="4" w:space="0"/>
              <w:bottom w:val="single" w:color="auto" w:sz="4" w:space="0"/>
            </w:tcBorders>
            <w:vAlign w:val="center"/>
          </w:tcPr>
          <w:p>
            <w:pPr>
              <w:adjustRightInd w:val="0"/>
              <w:snapToGrid w:val="0"/>
              <w:jc w:val="center"/>
              <w:rPr>
                <w:color w:val="0000FF"/>
                <w:szCs w:val="21"/>
              </w:rPr>
            </w:pPr>
            <w:r>
              <w:rPr>
                <w:color w:val="0000FF"/>
                <w:szCs w:val="21"/>
              </w:rPr>
              <w:t>TSP（颗粒物）</w:t>
            </w:r>
          </w:p>
        </w:tc>
        <w:tc>
          <w:tcPr>
            <w:tcW w:w="1561" w:type="pct"/>
            <w:tcBorders>
              <w:top w:val="single" w:color="auto" w:sz="4" w:space="0"/>
              <w:bottom w:val="single" w:color="auto" w:sz="4" w:space="0"/>
            </w:tcBorders>
            <w:vAlign w:val="center"/>
          </w:tcPr>
          <w:p>
            <w:pPr>
              <w:adjustRightInd w:val="0"/>
              <w:snapToGrid w:val="0"/>
              <w:rPr>
                <w:color w:val="0000FF"/>
                <w:szCs w:val="21"/>
              </w:rPr>
            </w:pPr>
            <w:r>
              <w:rPr>
                <w:color w:val="0000FF"/>
                <w:szCs w:val="21"/>
              </w:rPr>
              <w:t>配置1台袋式除尘器对破碎筛分粉尘进行收集处理后通过1根15m高排气筒（DA001）进行有组织排放，排风机设计风量3000m³/h。</w:t>
            </w:r>
          </w:p>
        </w:tc>
        <w:tc>
          <w:tcPr>
            <w:tcW w:w="1221" w:type="pct"/>
            <w:tcBorders>
              <w:top w:val="single" w:color="auto" w:sz="4" w:space="0"/>
              <w:bottom w:val="single" w:color="auto" w:sz="4" w:space="0"/>
            </w:tcBorders>
            <w:vAlign w:val="center"/>
          </w:tcPr>
          <w:p>
            <w:pPr>
              <w:adjustRightInd w:val="0"/>
              <w:snapToGrid w:val="0"/>
              <w:rPr>
                <w:color w:val="0000FF"/>
                <w:szCs w:val="21"/>
              </w:rPr>
            </w:pPr>
            <w:r>
              <w:rPr>
                <w:rFonts w:hint="eastAsia"/>
                <w:color w:val="0000FF"/>
                <w:kern w:val="0"/>
              </w:rPr>
              <w:t>执行《大气污染物综合排放标准》（GB 16297-1996）表2中1</w:t>
            </w:r>
            <w:r>
              <w:rPr>
                <w:color w:val="0000FF"/>
                <w:kern w:val="0"/>
              </w:rPr>
              <w:t>5</w:t>
            </w:r>
            <w:r>
              <w:rPr>
                <w:rFonts w:hint="eastAsia"/>
                <w:color w:val="0000FF"/>
                <w:kern w:val="0"/>
              </w:rPr>
              <w:t>m高排气筒二级限值要求。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8" w:type="pct"/>
            <w:vMerge w:val="continue"/>
            <w:tcBorders>
              <w:bottom w:val="single" w:color="auto" w:sz="4" w:space="0"/>
            </w:tcBorders>
            <w:vAlign w:val="center"/>
          </w:tcPr>
          <w:p>
            <w:pPr>
              <w:adjustRightInd w:val="0"/>
              <w:snapToGrid w:val="0"/>
              <w:jc w:val="center"/>
              <w:rPr>
                <w:szCs w:val="21"/>
              </w:rPr>
            </w:pPr>
          </w:p>
        </w:tc>
        <w:tc>
          <w:tcPr>
            <w:tcW w:w="806" w:type="pct"/>
            <w:gridSpan w:val="2"/>
            <w:tcBorders>
              <w:top w:val="single" w:color="auto" w:sz="4" w:space="0"/>
              <w:bottom w:val="single" w:color="auto" w:sz="4" w:space="0"/>
            </w:tcBorders>
            <w:vAlign w:val="center"/>
          </w:tcPr>
          <w:p>
            <w:pPr>
              <w:adjustRightInd w:val="0"/>
              <w:snapToGrid w:val="0"/>
              <w:jc w:val="center"/>
              <w:rPr>
                <w:szCs w:val="21"/>
              </w:rPr>
            </w:pPr>
            <w:r>
              <w:rPr>
                <w:rFonts w:hint="eastAsia"/>
                <w:szCs w:val="21"/>
              </w:rPr>
              <w:t>无组织排放源</w:t>
            </w:r>
          </w:p>
        </w:tc>
        <w:tc>
          <w:tcPr>
            <w:tcW w:w="1024" w:type="pct"/>
            <w:tcBorders>
              <w:top w:val="single" w:color="auto" w:sz="4" w:space="0"/>
              <w:bottom w:val="single" w:color="auto" w:sz="4" w:space="0"/>
            </w:tcBorders>
            <w:vAlign w:val="center"/>
          </w:tcPr>
          <w:p>
            <w:pPr>
              <w:adjustRightInd w:val="0"/>
              <w:snapToGrid w:val="0"/>
              <w:jc w:val="center"/>
              <w:rPr>
                <w:szCs w:val="21"/>
              </w:rPr>
            </w:pPr>
            <w:r>
              <w:rPr>
                <w:rFonts w:hint="eastAsia"/>
                <w:szCs w:val="21"/>
              </w:rPr>
              <w:t>TSP</w:t>
            </w:r>
          </w:p>
          <w:p>
            <w:pPr>
              <w:adjustRightInd w:val="0"/>
              <w:snapToGrid w:val="0"/>
              <w:jc w:val="center"/>
              <w:rPr>
                <w:szCs w:val="21"/>
              </w:rPr>
            </w:pPr>
            <w:r>
              <w:rPr>
                <w:rFonts w:hint="eastAsia"/>
                <w:szCs w:val="21"/>
              </w:rPr>
              <w:t>（颗粒物）</w:t>
            </w:r>
          </w:p>
        </w:tc>
        <w:tc>
          <w:tcPr>
            <w:tcW w:w="1561" w:type="pct"/>
            <w:tcBorders>
              <w:top w:val="single" w:color="auto" w:sz="4" w:space="0"/>
              <w:bottom w:val="single" w:color="auto" w:sz="4" w:space="0"/>
            </w:tcBorders>
            <w:vAlign w:val="center"/>
          </w:tcPr>
          <w:p>
            <w:pPr>
              <w:adjustRightInd w:val="0"/>
              <w:snapToGrid w:val="0"/>
              <w:rPr>
                <w:szCs w:val="21"/>
              </w:rPr>
            </w:pPr>
            <w:r>
              <w:rPr>
                <w:rFonts w:hint="eastAsia" w:ascii="宋体" w:hAnsi="宋体"/>
                <w:szCs w:val="21"/>
              </w:rPr>
              <w:t>①</w:t>
            </w:r>
            <w:r>
              <w:rPr>
                <w:rFonts w:hint="eastAsia"/>
                <w:szCs w:val="21"/>
              </w:rPr>
              <w:t>成品堆棚为三面封闭围挡加顶，一面敞口单层钢结构，顶部配置1套喷淋系统。</w:t>
            </w:r>
          </w:p>
          <w:p>
            <w:pPr>
              <w:adjustRightInd w:val="0"/>
              <w:snapToGrid w:val="0"/>
              <w:rPr>
                <w:szCs w:val="21"/>
              </w:rPr>
            </w:pPr>
            <w:r>
              <w:rPr>
                <w:rFonts w:hint="eastAsia" w:ascii="宋体" w:hAnsi="宋体"/>
                <w:szCs w:val="21"/>
              </w:rPr>
              <w:t>②</w:t>
            </w:r>
            <w:r>
              <w:rPr>
                <w:rFonts w:hint="eastAsia"/>
                <w:szCs w:val="21"/>
              </w:rPr>
              <w:t>原料堆棚为三面封闭围挡加顶，一面敞口单层钢结构，顶部配置1套喷淋系统。</w:t>
            </w:r>
          </w:p>
          <w:p>
            <w:pPr>
              <w:adjustRightInd w:val="0"/>
              <w:snapToGrid w:val="0"/>
              <w:rPr>
                <w:szCs w:val="21"/>
              </w:rPr>
            </w:pPr>
            <w:r>
              <w:rPr>
                <w:rFonts w:hint="eastAsia" w:ascii="宋体" w:hAnsi="宋体"/>
                <w:szCs w:val="21"/>
              </w:rPr>
              <w:t>③</w:t>
            </w:r>
            <w:r>
              <w:rPr>
                <w:rFonts w:hint="eastAsia"/>
                <w:szCs w:val="21"/>
              </w:rPr>
              <w:t>厂区运输道路及地面铺摊碎石铺垫，配置1台移动式雾炮机晴天对厂区进行雾化降尘。</w:t>
            </w:r>
          </w:p>
        </w:tc>
        <w:tc>
          <w:tcPr>
            <w:tcW w:w="1221" w:type="pct"/>
            <w:tcBorders>
              <w:top w:val="single" w:color="auto" w:sz="4" w:space="0"/>
              <w:bottom w:val="single" w:color="auto" w:sz="4" w:space="0"/>
            </w:tcBorders>
            <w:vAlign w:val="center"/>
          </w:tcPr>
          <w:p>
            <w:pPr>
              <w:adjustRightInd w:val="0"/>
              <w:snapToGrid w:val="0"/>
              <w:rPr>
                <w:szCs w:val="21"/>
              </w:rPr>
            </w:pPr>
            <w:r>
              <w:rPr>
                <w:rFonts w:hint="eastAsia"/>
                <w:szCs w:val="21"/>
              </w:rPr>
              <w:t>执行《大气污染物综合排放标准》（GB 16297-1996）无组织排放监控浓度限值要求。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0" w:hRule="atLeast"/>
        </w:trPr>
        <w:tc>
          <w:tcPr>
            <w:tcW w:w="388" w:type="pct"/>
            <w:vMerge w:val="restart"/>
            <w:tcBorders>
              <w:top w:val="single" w:color="auto" w:sz="4" w:space="0"/>
              <w:bottom w:val="single" w:color="auto" w:sz="4" w:space="0"/>
            </w:tcBorders>
            <w:vAlign w:val="center"/>
          </w:tcPr>
          <w:p>
            <w:pPr>
              <w:adjustRightInd w:val="0"/>
              <w:snapToGrid w:val="0"/>
              <w:jc w:val="center"/>
              <w:rPr>
                <w:szCs w:val="21"/>
              </w:rPr>
            </w:pPr>
            <w:r>
              <w:rPr>
                <w:szCs w:val="21"/>
              </w:rPr>
              <w:t>地表水</w:t>
            </w:r>
          </w:p>
        </w:tc>
        <w:tc>
          <w:tcPr>
            <w:tcW w:w="806" w:type="pct"/>
            <w:gridSpan w:val="2"/>
            <w:tcBorders>
              <w:top w:val="single" w:color="auto" w:sz="4" w:space="0"/>
              <w:bottom w:val="single" w:color="auto" w:sz="4" w:space="0"/>
            </w:tcBorders>
            <w:vAlign w:val="center"/>
          </w:tcPr>
          <w:p>
            <w:pPr>
              <w:adjustRightInd w:val="0"/>
              <w:snapToGrid w:val="0"/>
              <w:jc w:val="center"/>
              <w:rPr>
                <w:szCs w:val="21"/>
              </w:rPr>
            </w:pPr>
            <w:r>
              <w:rPr>
                <w:rFonts w:hint="eastAsia"/>
                <w:szCs w:val="21"/>
              </w:rPr>
              <w:t>生活污水</w:t>
            </w:r>
          </w:p>
        </w:tc>
        <w:tc>
          <w:tcPr>
            <w:tcW w:w="1024" w:type="pct"/>
            <w:tcBorders>
              <w:top w:val="single" w:color="auto" w:sz="4" w:space="0"/>
              <w:bottom w:val="single" w:color="auto" w:sz="4" w:space="0"/>
            </w:tcBorders>
            <w:vAlign w:val="center"/>
          </w:tcPr>
          <w:p>
            <w:pPr>
              <w:adjustRightInd w:val="0"/>
              <w:snapToGrid w:val="0"/>
              <w:rPr>
                <w:szCs w:val="21"/>
              </w:rPr>
            </w:pPr>
            <w:r>
              <w:rPr>
                <w:szCs w:val="21"/>
              </w:rPr>
              <w:t>SS、COD、BOD</w:t>
            </w:r>
            <w:r>
              <w:rPr>
                <w:szCs w:val="21"/>
                <w:vertAlign w:val="subscript"/>
              </w:rPr>
              <w:t>5</w:t>
            </w:r>
            <w:r>
              <w:rPr>
                <w:rFonts w:hint="eastAsia"/>
                <w:szCs w:val="21"/>
                <w:vertAlign w:val="subscript"/>
              </w:rPr>
              <w:t>、</w:t>
            </w:r>
            <w:r>
              <w:rPr>
                <w:rFonts w:hint="eastAsia"/>
                <w:szCs w:val="21"/>
              </w:rPr>
              <w:t>NH</w:t>
            </w:r>
            <w:r>
              <w:rPr>
                <w:rFonts w:hint="eastAsia"/>
                <w:szCs w:val="21"/>
                <w:vertAlign w:val="subscript"/>
              </w:rPr>
              <w:t>3</w:t>
            </w:r>
            <w:r>
              <w:rPr>
                <w:rFonts w:hint="eastAsia"/>
                <w:szCs w:val="21"/>
              </w:rPr>
              <w:t>-N、TP、TN、石油类</w:t>
            </w:r>
          </w:p>
        </w:tc>
        <w:tc>
          <w:tcPr>
            <w:tcW w:w="1561" w:type="pct"/>
            <w:tcBorders>
              <w:top w:val="single" w:color="auto" w:sz="4" w:space="0"/>
              <w:bottom w:val="single" w:color="auto" w:sz="4" w:space="0"/>
            </w:tcBorders>
            <w:vAlign w:val="center"/>
          </w:tcPr>
          <w:p>
            <w:pPr>
              <w:rPr>
                <w:szCs w:val="21"/>
              </w:rPr>
            </w:pPr>
            <w:r>
              <w:rPr>
                <w:rFonts w:hint="eastAsia"/>
                <w:szCs w:val="21"/>
              </w:rPr>
              <w:t>厨房配置油水分离器1套，处理能力为0</w:t>
            </w:r>
            <w:r>
              <w:rPr>
                <w:szCs w:val="21"/>
              </w:rPr>
              <w:t>.05</w:t>
            </w:r>
            <w:r>
              <w:rPr>
                <w:rFonts w:hint="eastAsia"/>
                <w:szCs w:val="21"/>
              </w:rPr>
              <w:t>m³</w:t>
            </w:r>
            <w:r>
              <w:rPr>
                <w:szCs w:val="21"/>
              </w:rPr>
              <w:t>/</w:t>
            </w:r>
            <w:r>
              <w:rPr>
                <w:rFonts w:hint="eastAsia"/>
                <w:szCs w:val="21"/>
              </w:rPr>
              <w:t>h，厂区设置地埋式化粪池1座，容积约</w:t>
            </w:r>
            <w:r>
              <w:rPr>
                <w:szCs w:val="21"/>
              </w:rPr>
              <w:t>2</w:t>
            </w:r>
            <w:r>
              <w:rPr>
                <w:rFonts w:hint="eastAsia"/>
                <w:szCs w:val="21"/>
              </w:rPr>
              <w:t>m³。</w:t>
            </w:r>
          </w:p>
        </w:tc>
        <w:tc>
          <w:tcPr>
            <w:tcW w:w="1221" w:type="pct"/>
            <w:vMerge w:val="restart"/>
            <w:tcBorders>
              <w:top w:val="single" w:color="auto" w:sz="4" w:space="0"/>
            </w:tcBorders>
            <w:vAlign w:val="center"/>
          </w:tcPr>
          <w:p>
            <w:pPr>
              <w:adjustRightInd w:val="0"/>
              <w:snapToGrid w:val="0"/>
              <w:rPr>
                <w:szCs w:val="21"/>
              </w:rPr>
            </w:pPr>
            <w:r>
              <w:rPr>
                <w:rFonts w:hint="eastAsia"/>
                <w:szCs w:val="21"/>
              </w:rPr>
              <w:t>经收集处理后回用于洗砂生产线，不外排。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8" w:type="pct"/>
            <w:vMerge w:val="continue"/>
            <w:tcBorders>
              <w:top w:val="single" w:color="auto" w:sz="4" w:space="0"/>
              <w:bottom w:val="single" w:color="auto" w:sz="4" w:space="0"/>
            </w:tcBorders>
            <w:vAlign w:val="center"/>
          </w:tcPr>
          <w:p>
            <w:pPr>
              <w:adjustRightInd w:val="0"/>
              <w:snapToGrid w:val="0"/>
              <w:jc w:val="center"/>
              <w:rPr>
                <w:szCs w:val="21"/>
              </w:rPr>
            </w:pPr>
          </w:p>
        </w:tc>
        <w:tc>
          <w:tcPr>
            <w:tcW w:w="806" w:type="pct"/>
            <w:gridSpan w:val="2"/>
            <w:tcBorders>
              <w:top w:val="single" w:color="auto" w:sz="4" w:space="0"/>
              <w:bottom w:val="single" w:color="auto" w:sz="4" w:space="0"/>
            </w:tcBorders>
            <w:vAlign w:val="center"/>
          </w:tcPr>
          <w:p>
            <w:pPr>
              <w:adjustRightInd w:val="0"/>
              <w:snapToGrid w:val="0"/>
              <w:jc w:val="center"/>
              <w:rPr>
                <w:szCs w:val="21"/>
              </w:rPr>
            </w:pPr>
            <w:r>
              <w:rPr>
                <w:rFonts w:hint="eastAsia"/>
                <w:szCs w:val="21"/>
              </w:rPr>
              <w:t>洗砂废水</w:t>
            </w:r>
          </w:p>
        </w:tc>
        <w:tc>
          <w:tcPr>
            <w:tcW w:w="1024" w:type="pct"/>
            <w:tcBorders>
              <w:top w:val="single" w:color="auto" w:sz="4" w:space="0"/>
              <w:bottom w:val="single" w:color="auto" w:sz="4" w:space="0"/>
            </w:tcBorders>
            <w:vAlign w:val="center"/>
          </w:tcPr>
          <w:p>
            <w:pPr>
              <w:adjustRightInd w:val="0"/>
              <w:snapToGrid w:val="0"/>
              <w:rPr>
                <w:szCs w:val="21"/>
              </w:rPr>
            </w:pPr>
            <w:r>
              <w:rPr>
                <w:rFonts w:hint="eastAsia"/>
                <w:szCs w:val="21"/>
              </w:rPr>
              <w:t>pH、SS、</w:t>
            </w:r>
            <w:r>
              <w:rPr>
                <w:szCs w:val="21"/>
              </w:rPr>
              <w:t>COD、BOD</w:t>
            </w:r>
            <w:r>
              <w:rPr>
                <w:szCs w:val="21"/>
                <w:vertAlign w:val="subscript"/>
              </w:rPr>
              <w:t>5</w:t>
            </w:r>
            <w:r>
              <w:rPr>
                <w:rFonts w:hint="eastAsia"/>
                <w:szCs w:val="21"/>
              </w:rPr>
              <w:t>、石油类</w:t>
            </w:r>
          </w:p>
        </w:tc>
        <w:tc>
          <w:tcPr>
            <w:tcW w:w="1561" w:type="pct"/>
            <w:tcBorders>
              <w:top w:val="single" w:color="auto" w:sz="4" w:space="0"/>
              <w:bottom w:val="single" w:color="auto" w:sz="4" w:space="0"/>
            </w:tcBorders>
            <w:vAlign w:val="center"/>
          </w:tcPr>
          <w:p>
            <w:pPr>
              <w:rPr>
                <w:szCs w:val="21"/>
              </w:rPr>
            </w:pPr>
            <w:r>
              <w:rPr>
                <w:rFonts w:hint="eastAsia"/>
                <w:szCs w:val="21"/>
              </w:rPr>
              <w:t>设置</w:t>
            </w:r>
            <w:r>
              <w:rPr>
                <w:szCs w:val="21"/>
              </w:rPr>
              <w:t>120</w:t>
            </w:r>
            <w:r>
              <w:rPr>
                <w:rFonts w:hint="eastAsia"/>
                <w:szCs w:val="21"/>
              </w:rPr>
              <w:t>m³砖混结构三级沉淀池1座（</w:t>
            </w:r>
            <w:r>
              <w:rPr>
                <w:szCs w:val="21"/>
              </w:rPr>
              <w:t>4.8</w:t>
            </w:r>
            <w:r>
              <w:rPr>
                <w:rFonts w:hint="eastAsia"/>
                <w:szCs w:val="21"/>
              </w:rPr>
              <w:t>m</w:t>
            </w:r>
            <w:r>
              <w:rPr>
                <w:szCs w:val="21"/>
              </w:rPr>
              <w:t>*2.5</w:t>
            </w:r>
            <w:r>
              <w:rPr>
                <w:rFonts w:hint="eastAsia"/>
                <w:szCs w:val="21"/>
              </w:rPr>
              <w:t>m</w:t>
            </w:r>
            <w:r>
              <w:rPr>
                <w:szCs w:val="21"/>
              </w:rPr>
              <w:t>*2.5</w:t>
            </w:r>
            <w:r>
              <w:rPr>
                <w:rFonts w:hint="eastAsia"/>
                <w:szCs w:val="21"/>
              </w:rPr>
              <w:t>m</w:t>
            </w:r>
            <w:r>
              <w:rPr>
                <w:szCs w:val="21"/>
              </w:rPr>
              <w:t>/</w:t>
            </w:r>
            <w:r>
              <w:rPr>
                <w:rFonts w:hint="eastAsia"/>
                <w:szCs w:val="21"/>
              </w:rPr>
              <w:t>格），容积合计9</w:t>
            </w:r>
            <w:r>
              <w:rPr>
                <w:szCs w:val="21"/>
              </w:rPr>
              <w:t>0</w:t>
            </w:r>
            <w:r>
              <w:rPr>
                <w:rFonts w:hint="eastAsia"/>
                <w:szCs w:val="21"/>
              </w:rPr>
              <w:t>m³。</w:t>
            </w:r>
          </w:p>
        </w:tc>
        <w:tc>
          <w:tcPr>
            <w:tcW w:w="1221" w:type="pct"/>
            <w:vMerge w:val="continue"/>
            <w:vAlign w:val="center"/>
          </w:tcPr>
          <w:p>
            <w:pPr>
              <w:adjustRightInd w:val="0"/>
              <w:snapToGrid w:val="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8" w:type="pct"/>
            <w:vMerge w:val="continue"/>
            <w:tcBorders>
              <w:top w:val="single" w:color="auto" w:sz="4" w:space="0"/>
              <w:bottom w:val="single" w:color="auto" w:sz="4" w:space="0"/>
            </w:tcBorders>
            <w:vAlign w:val="center"/>
          </w:tcPr>
          <w:p>
            <w:pPr>
              <w:adjustRightInd w:val="0"/>
              <w:snapToGrid w:val="0"/>
              <w:jc w:val="center"/>
              <w:rPr>
                <w:szCs w:val="21"/>
              </w:rPr>
            </w:pPr>
          </w:p>
        </w:tc>
        <w:tc>
          <w:tcPr>
            <w:tcW w:w="806" w:type="pct"/>
            <w:gridSpan w:val="2"/>
            <w:tcBorders>
              <w:top w:val="single" w:color="auto" w:sz="4" w:space="0"/>
              <w:bottom w:val="single" w:color="auto" w:sz="4" w:space="0"/>
            </w:tcBorders>
            <w:vAlign w:val="center"/>
          </w:tcPr>
          <w:p>
            <w:pPr>
              <w:adjustRightInd w:val="0"/>
              <w:snapToGrid w:val="0"/>
              <w:jc w:val="center"/>
              <w:rPr>
                <w:szCs w:val="21"/>
              </w:rPr>
            </w:pPr>
            <w:r>
              <w:rPr>
                <w:rFonts w:hint="eastAsia"/>
                <w:szCs w:val="21"/>
              </w:rPr>
              <w:t>车辆冲洗废水</w:t>
            </w:r>
          </w:p>
        </w:tc>
        <w:tc>
          <w:tcPr>
            <w:tcW w:w="1024" w:type="pct"/>
            <w:tcBorders>
              <w:top w:val="single" w:color="auto" w:sz="4" w:space="0"/>
              <w:bottom w:val="single" w:color="auto" w:sz="4" w:space="0"/>
            </w:tcBorders>
            <w:vAlign w:val="center"/>
          </w:tcPr>
          <w:p>
            <w:pPr>
              <w:adjustRightInd w:val="0"/>
              <w:snapToGrid w:val="0"/>
              <w:rPr>
                <w:szCs w:val="21"/>
              </w:rPr>
            </w:pPr>
            <w:r>
              <w:rPr>
                <w:rFonts w:hint="eastAsia"/>
                <w:szCs w:val="21"/>
              </w:rPr>
              <w:t>pH、SS、</w:t>
            </w:r>
            <w:r>
              <w:rPr>
                <w:szCs w:val="21"/>
              </w:rPr>
              <w:t>COD、BOD</w:t>
            </w:r>
            <w:r>
              <w:rPr>
                <w:szCs w:val="21"/>
                <w:vertAlign w:val="subscript"/>
              </w:rPr>
              <w:t>5</w:t>
            </w:r>
            <w:r>
              <w:rPr>
                <w:rFonts w:hint="eastAsia"/>
                <w:szCs w:val="21"/>
              </w:rPr>
              <w:t>、石油类</w:t>
            </w:r>
          </w:p>
        </w:tc>
        <w:tc>
          <w:tcPr>
            <w:tcW w:w="1561" w:type="pct"/>
            <w:tcBorders>
              <w:top w:val="single" w:color="auto" w:sz="4" w:space="0"/>
              <w:bottom w:val="single" w:color="auto" w:sz="4" w:space="0"/>
            </w:tcBorders>
            <w:vAlign w:val="center"/>
          </w:tcPr>
          <w:p>
            <w:pPr>
              <w:rPr>
                <w:szCs w:val="21"/>
              </w:rPr>
            </w:pPr>
            <w:r>
              <w:rPr>
                <w:rFonts w:hint="eastAsia"/>
                <w:szCs w:val="21"/>
              </w:rPr>
              <w:t>项目区出入口处布设车辆清洁池1座，尺寸为：长12m，宽3.4m，采用C15砼浇筑</w:t>
            </w:r>
          </w:p>
        </w:tc>
        <w:tc>
          <w:tcPr>
            <w:tcW w:w="1221" w:type="pct"/>
            <w:vMerge w:val="continue"/>
            <w:vAlign w:val="center"/>
          </w:tcPr>
          <w:p>
            <w:pPr>
              <w:adjustRightInd w:val="0"/>
              <w:snapToGrid w:val="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8" w:type="pct"/>
            <w:vMerge w:val="continue"/>
            <w:tcBorders>
              <w:top w:val="single" w:color="auto" w:sz="4" w:space="0"/>
              <w:bottom w:val="single" w:color="auto" w:sz="4" w:space="0"/>
            </w:tcBorders>
            <w:vAlign w:val="center"/>
          </w:tcPr>
          <w:p>
            <w:pPr>
              <w:adjustRightInd w:val="0"/>
              <w:snapToGrid w:val="0"/>
              <w:jc w:val="center"/>
              <w:rPr>
                <w:szCs w:val="21"/>
              </w:rPr>
            </w:pPr>
          </w:p>
        </w:tc>
        <w:tc>
          <w:tcPr>
            <w:tcW w:w="806" w:type="pct"/>
            <w:gridSpan w:val="2"/>
            <w:tcBorders>
              <w:top w:val="single" w:color="auto" w:sz="4" w:space="0"/>
              <w:bottom w:val="single" w:color="auto" w:sz="4" w:space="0"/>
            </w:tcBorders>
            <w:vAlign w:val="center"/>
          </w:tcPr>
          <w:p>
            <w:pPr>
              <w:adjustRightInd w:val="0"/>
              <w:snapToGrid w:val="0"/>
              <w:jc w:val="center"/>
              <w:rPr>
                <w:szCs w:val="21"/>
              </w:rPr>
            </w:pPr>
            <w:r>
              <w:rPr>
                <w:rFonts w:hint="eastAsia"/>
                <w:szCs w:val="21"/>
              </w:rPr>
              <w:t>初期雨水</w:t>
            </w:r>
          </w:p>
        </w:tc>
        <w:tc>
          <w:tcPr>
            <w:tcW w:w="1024" w:type="pct"/>
            <w:tcBorders>
              <w:top w:val="single" w:color="auto" w:sz="4" w:space="0"/>
              <w:bottom w:val="single" w:color="auto" w:sz="4" w:space="0"/>
            </w:tcBorders>
            <w:vAlign w:val="center"/>
          </w:tcPr>
          <w:p>
            <w:pPr>
              <w:adjustRightInd w:val="0"/>
              <w:snapToGrid w:val="0"/>
              <w:jc w:val="center"/>
              <w:rPr>
                <w:szCs w:val="21"/>
              </w:rPr>
            </w:pPr>
            <w:r>
              <w:rPr>
                <w:rFonts w:hint="eastAsia"/>
                <w:szCs w:val="21"/>
              </w:rPr>
              <w:t>SS、COD、石油类</w:t>
            </w:r>
          </w:p>
        </w:tc>
        <w:tc>
          <w:tcPr>
            <w:tcW w:w="1561" w:type="pct"/>
            <w:tcBorders>
              <w:top w:val="single" w:color="auto" w:sz="4" w:space="0"/>
              <w:bottom w:val="single" w:color="auto" w:sz="4" w:space="0"/>
            </w:tcBorders>
            <w:vAlign w:val="center"/>
          </w:tcPr>
          <w:p>
            <w:pPr>
              <w:rPr>
                <w:szCs w:val="21"/>
              </w:rPr>
            </w:pPr>
            <w:r>
              <w:rPr>
                <w:rFonts w:hint="eastAsia"/>
                <w:szCs w:val="21"/>
              </w:rPr>
              <w:t>厂区设置初期雨水收集池1座，容积约</w:t>
            </w:r>
            <w:r>
              <w:rPr>
                <w:szCs w:val="21"/>
              </w:rPr>
              <w:t>30</w:t>
            </w:r>
            <w:r>
              <w:rPr>
                <w:rFonts w:hint="eastAsia"/>
                <w:szCs w:val="21"/>
              </w:rPr>
              <w:t>m³。</w:t>
            </w:r>
          </w:p>
        </w:tc>
        <w:tc>
          <w:tcPr>
            <w:tcW w:w="1221" w:type="pct"/>
            <w:vMerge w:val="continue"/>
            <w:tcBorders>
              <w:bottom w:val="single" w:color="auto" w:sz="4" w:space="0"/>
            </w:tcBorders>
            <w:vAlign w:val="center"/>
          </w:tcPr>
          <w:p>
            <w:pPr>
              <w:adjustRightInd w:val="0"/>
              <w:snapToGrid w:val="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0" w:hRule="atLeast"/>
        </w:trPr>
        <w:tc>
          <w:tcPr>
            <w:tcW w:w="388" w:type="pct"/>
            <w:tcBorders>
              <w:top w:val="single" w:color="auto" w:sz="4" w:space="0"/>
              <w:bottom w:val="single" w:color="auto" w:sz="4" w:space="0"/>
            </w:tcBorders>
            <w:vAlign w:val="center"/>
          </w:tcPr>
          <w:p>
            <w:pPr>
              <w:adjustRightInd w:val="0"/>
              <w:snapToGrid w:val="0"/>
              <w:jc w:val="center"/>
              <w:rPr>
                <w:szCs w:val="21"/>
              </w:rPr>
            </w:pPr>
            <w:r>
              <w:rPr>
                <w:szCs w:val="21"/>
              </w:rPr>
              <w:t>声环境</w:t>
            </w:r>
          </w:p>
        </w:tc>
        <w:tc>
          <w:tcPr>
            <w:tcW w:w="806" w:type="pct"/>
            <w:gridSpan w:val="2"/>
            <w:tcBorders>
              <w:top w:val="single" w:color="auto" w:sz="4" w:space="0"/>
              <w:bottom w:val="single" w:color="auto" w:sz="4" w:space="0"/>
            </w:tcBorders>
            <w:vAlign w:val="center"/>
          </w:tcPr>
          <w:p>
            <w:pPr>
              <w:adjustRightInd w:val="0"/>
              <w:snapToGrid w:val="0"/>
              <w:jc w:val="center"/>
              <w:rPr>
                <w:szCs w:val="21"/>
              </w:rPr>
            </w:pPr>
            <w:r>
              <w:rPr>
                <w:szCs w:val="21"/>
              </w:rPr>
              <w:t>生产设备</w:t>
            </w:r>
          </w:p>
        </w:tc>
        <w:tc>
          <w:tcPr>
            <w:tcW w:w="1024" w:type="pct"/>
            <w:tcBorders>
              <w:top w:val="single" w:color="auto" w:sz="4" w:space="0"/>
              <w:bottom w:val="single" w:color="auto" w:sz="4" w:space="0"/>
            </w:tcBorders>
            <w:vAlign w:val="center"/>
          </w:tcPr>
          <w:p>
            <w:pPr>
              <w:adjustRightInd w:val="0"/>
              <w:snapToGrid w:val="0"/>
              <w:jc w:val="center"/>
              <w:rPr>
                <w:szCs w:val="21"/>
              </w:rPr>
            </w:pPr>
            <w:r>
              <w:rPr>
                <w:szCs w:val="21"/>
              </w:rPr>
              <w:t>噪声</w:t>
            </w:r>
          </w:p>
        </w:tc>
        <w:tc>
          <w:tcPr>
            <w:tcW w:w="1561" w:type="pct"/>
            <w:tcBorders>
              <w:top w:val="single" w:color="auto" w:sz="4" w:space="0"/>
              <w:bottom w:val="single" w:color="auto" w:sz="4" w:space="0"/>
            </w:tcBorders>
            <w:vAlign w:val="center"/>
          </w:tcPr>
          <w:p>
            <w:pPr>
              <w:rPr>
                <w:szCs w:val="21"/>
              </w:rPr>
            </w:pPr>
            <w:r>
              <w:rPr>
                <w:rFonts w:hint="eastAsia"/>
                <w:szCs w:val="21"/>
              </w:rPr>
              <w:t>基础减震、设备定期检修维护；加强厂区绿化种植。</w:t>
            </w:r>
          </w:p>
        </w:tc>
        <w:tc>
          <w:tcPr>
            <w:tcW w:w="1221" w:type="pct"/>
            <w:tcBorders>
              <w:top w:val="single" w:color="auto" w:sz="4" w:space="0"/>
              <w:bottom w:val="single" w:color="auto" w:sz="4" w:space="0"/>
            </w:tcBorders>
            <w:vAlign w:val="center"/>
          </w:tcPr>
          <w:p>
            <w:pPr>
              <w:adjustRightInd w:val="0"/>
              <w:snapToGrid w:val="0"/>
              <w:rPr>
                <w:szCs w:val="21"/>
              </w:rPr>
            </w:pPr>
            <w:r>
              <w:rPr>
                <w:rFonts w:hint="eastAsia"/>
                <w:szCs w:val="21"/>
              </w:rPr>
              <w:t>执行《工业企业场界环境噪声排放标准》（GB 12348-2008）2类功能区限值要求。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8" w:type="pct"/>
            <w:tcBorders>
              <w:top w:val="single" w:color="auto" w:sz="4" w:space="0"/>
              <w:bottom w:val="single" w:color="auto" w:sz="4" w:space="0"/>
            </w:tcBorders>
            <w:vAlign w:val="center"/>
          </w:tcPr>
          <w:p>
            <w:pPr>
              <w:adjustRightInd w:val="0"/>
              <w:snapToGrid w:val="0"/>
              <w:jc w:val="center"/>
              <w:rPr>
                <w:szCs w:val="21"/>
              </w:rPr>
            </w:pPr>
            <w:r>
              <w:rPr>
                <w:szCs w:val="21"/>
              </w:rPr>
              <w:t>电磁辐射</w:t>
            </w:r>
          </w:p>
        </w:tc>
        <w:tc>
          <w:tcPr>
            <w:tcW w:w="4612" w:type="pct"/>
            <w:gridSpan w:val="5"/>
            <w:tcBorders>
              <w:top w:val="single" w:color="auto" w:sz="4" w:space="0"/>
              <w:bottom w:val="single" w:color="auto" w:sz="4" w:space="0"/>
            </w:tcBorders>
            <w:vAlign w:val="center"/>
          </w:tcPr>
          <w:p>
            <w:pPr>
              <w:adjustRightInd w:val="0"/>
              <w:snapToGrid w:val="0"/>
              <w:jc w:val="center"/>
              <w:rPr>
                <w:szCs w:val="21"/>
              </w:rPr>
            </w:pPr>
            <w:r>
              <w:rPr>
                <w:rFonts w:hint="eastAsia"/>
                <w:szCs w:val="21"/>
              </w:rPr>
              <w:t>不涉及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8" w:type="pct"/>
            <w:vMerge w:val="restart"/>
            <w:tcBorders>
              <w:top w:val="single" w:color="auto" w:sz="4" w:space="0"/>
              <w:bottom w:val="single" w:color="auto" w:sz="4" w:space="0"/>
            </w:tcBorders>
            <w:vAlign w:val="center"/>
          </w:tcPr>
          <w:p>
            <w:pPr>
              <w:adjustRightInd w:val="0"/>
              <w:snapToGrid w:val="0"/>
              <w:jc w:val="center"/>
              <w:rPr>
                <w:szCs w:val="21"/>
              </w:rPr>
            </w:pPr>
            <w:r>
              <w:rPr>
                <w:szCs w:val="21"/>
              </w:rPr>
              <w:t>固体废物</w:t>
            </w:r>
          </w:p>
        </w:tc>
        <w:tc>
          <w:tcPr>
            <w:tcW w:w="412" w:type="pct"/>
            <w:vMerge w:val="restart"/>
            <w:tcBorders>
              <w:top w:val="single" w:color="auto" w:sz="4" w:space="0"/>
              <w:bottom w:val="single" w:color="auto" w:sz="4" w:space="0"/>
            </w:tcBorders>
            <w:vAlign w:val="center"/>
          </w:tcPr>
          <w:p>
            <w:pPr>
              <w:pStyle w:val="24"/>
              <w:jc w:val="center"/>
              <w:rPr>
                <w:sz w:val="21"/>
                <w:szCs w:val="21"/>
              </w:rPr>
            </w:pPr>
            <w:r>
              <w:rPr>
                <w:sz w:val="21"/>
                <w:szCs w:val="21"/>
              </w:rPr>
              <w:t>危险废物</w:t>
            </w:r>
          </w:p>
        </w:tc>
        <w:tc>
          <w:tcPr>
            <w:tcW w:w="1418" w:type="pct"/>
            <w:gridSpan w:val="2"/>
            <w:tcBorders>
              <w:top w:val="single" w:color="auto" w:sz="4" w:space="0"/>
              <w:bottom w:val="single" w:color="auto" w:sz="4" w:space="0"/>
            </w:tcBorders>
            <w:vAlign w:val="center"/>
          </w:tcPr>
          <w:p>
            <w:pPr>
              <w:pStyle w:val="24"/>
              <w:pBdr>
                <w:top w:val="none" w:color="auto" w:sz="0" w:space="0"/>
                <w:left w:val="none" w:color="auto" w:sz="0" w:space="0"/>
                <w:bottom w:val="none" w:color="auto" w:sz="0" w:space="0"/>
                <w:right w:val="none" w:color="auto" w:sz="0" w:space="0"/>
              </w:pBdr>
              <w:jc w:val="center"/>
              <w:rPr>
                <w:sz w:val="21"/>
                <w:szCs w:val="21"/>
              </w:rPr>
            </w:pPr>
            <w:r>
              <w:rPr>
                <w:sz w:val="21"/>
                <w:szCs w:val="21"/>
              </w:rPr>
              <w:t>废润滑油</w:t>
            </w:r>
          </w:p>
          <w:p>
            <w:pPr>
              <w:pStyle w:val="24"/>
              <w:pBdr>
                <w:top w:val="none" w:color="auto" w:sz="0" w:space="0"/>
                <w:left w:val="none" w:color="auto" w:sz="0" w:space="0"/>
                <w:bottom w:val="none" w:color="auto" w:sz="0" w:space="0"/>
                <w:right w:val="none" w:color="auto" w:sz="0" w:space="0"/>
              </w:pBdr>
              <w:jc w:val="center"/>
              <w:rPr>
                <w:sz w:val="21"/>
                <w:szCs w:val="21"/>
              </w:rPr>
            </w:pPr>
            <w:r>
              <w:rPr>
                <w:rFonts w:hint="eastAsia"/>
                <w:sz w:val="21"/>
                <w:szCs w:val="21"/>
              </w:rPr>
              <w:t>（HW</w:t>
            </w:r>
            <w:r>
              <w:rPr>
                <w:sz w:val="21"/>
                <w:szCs w:val="21"/>
              </w:rPr>
              <w:t>08/900-249-08</w:t>
            </w:r>
            <w:r>
              <w:rPr>
                <w:rFonts w:hint="eastAsia"/>
                <w:sz w:val="21"/>
                <w:szCs w:val="21"/>
              </w:rPr>
              <w:t>）</w:t>
            </w:r>
          </w:p>
        </w:tc>
        <w:tc>
          <w:tcPr>
            <w:tcW w:w="1561" w:type="pct"/>
            <w:vMerge w:val="restart"/>
            <w:tcBorders>
              <w:top w:val="single" w:color="auto" w:sz="4" w:space="0"/>
              <w:bottom w:val="single" w:color="auto" w:sz="4" w:space="0"/>
            </w:tcBorders>
            <w:vAlign w:val="center"/>
          </w:tcPr>
          <w:p>
            <w:pPr>
              <w:pStyle w:val="17"/>
              <w:rPr>
                <w:rFonts w:ascii="Times New Roman" w:hAnsi="Times New Roman"/>
                <w:sz w:val="21"/>
              </w:rPr>
            </w:pPr>
            <w:r>
              <w:rPr>
                <w:rFonts w:hint="eastAsia" w:ascii="Times New Roman" w:hAnsi="Times New Roman"/>
                <w:sz w:val="21"/>
              </w:rPr>
              <w:t>按规范要求建设不低于5㎡危废暂存间1座，与相关资质单位签订危险废物委托处置协议。</w:t>
            </w:r>
          </w:p>
        </w:tc>
        <w:tc>
          <w:tcPr>
            <w:tcW w:w="1221" w:type="pct"/>
            <w:vMerge w:val="restart"/>
            <w:tcBorders>
              <w:top w:val="single" w:color="auto" w:sz="4" w:space="0"/>
              <w:bottom w:val="single" w:color="auto" w:sz="4" w:space="0"/>
            </w:tcBorders>
            <w:vAlign w:val="center"/>
          </w:tcPr>
          <w:p>
            <w:pPr>
              <w:adjustRightInd w:val="0"/>
              <w:snapToGrid w:val="0"/>
              <w:rPr>
                <w:szCs w:val="21"/>
              </w:rPr>
            </w:pPr>
            <w:r>
              <w:rPr>
                <w:szCs w:val="21"/>
              </w:rPr>
              <w:t>执行《危险废物贮存污染控制标准》（GB18597-2023）相关规定要求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8" w:type="pct"/>
            <w:vMerge w:val="continue"/>
            <w:tcBorders>
              <w:top w:val="single" w:color="auto" w:sz="4" w:space="0"/>
              <w:bottom w:val="single" w:color="auto" w:sz="4" w:space="0"/>
            </w:tcBorders>
            <w:vAlign w:val="center"/>
          </w:tcPr>
          <w:p>
            <w:pPr>
              <w:adjustRightInd w:val="0"/>
              <w:snapToGrid w:val="0"/>
              <w:jc w:val="center"/>
              <w:rPr>
                <w:szCs w:val="21"/>
              </w:rPr>
            </w:pPr>
          </w:p>
        </w:tc>
        <w:tc>
          <w:tcPr>
            <w:tcW w:w="412" w:type="pct"/>
            <w:vMerge w:val="continue"/>
            <w:tcBorders>
              <w:top w:val="single" w:color="auto" w:sz="4" w:space="0"/>
              <w:bottom w:val="single" w:color="auto" w:sz="4" w:space="0"/>
            </w:tcBorders>
            <w:vAlign w:val="center"/>
          </w:tcPr>
          <w:p>
            <w:pPr>
              <w:pStyle w:val="24"/>
              <w:pBdr>
                <w:top w:val="none" w:color="auto" w:sz="0" w:space="0"/>
                <w:left w:val="none" w:color="auto" w:sz="0" w:space="0"/>
                <w:bottom w:val="none" w:color="auto" w:sz="0" w:space="0"/>
                <w:right w:val="none" w:color="auto" w:sz="0" w:space="0"/>
              </w:pBdr>
              <w:jc w:val="center"/>
              <w:rPr>
                <w:sz w:val="21"/>
                <w:szCs w:val="21"/>
              </w:rPr>
            </w:pPr>
          </w:p>
        </w:tc>
        <w:tc>
          <w:tcPr>
            <w:tcW w:w="1418" w:type="pct"/>
            <w:gridSpan w:val="2"/>
            <w:tcBorders>
              <w:top w:val="single" w:color="auto" w:sz="4" w:space="0"/>
              <w:bottom w:val="single" w:color="auto" w:sz="4" w:space="0"/>
            </w:tcBorders>
            <w:vAlign w:val="center"/>
          </w:tcPr>
          <w:p>
            <w:pPr>
              <w:pStyle w:val="24"/>
              <w:pBdr>
                <w:top w:val="none" w:color="auto" w:sz="0" w:space="0"/>
                <w:left w:val="none" w:color="auto" w:sz="0" w:space="0"/>
                <w:bottom w:val="none" w:color="auto" w:sz="0" w:space="0"/>
                <w:right w:val="none" w:color="auto" w:sz="0" w:space="0"/>
              </w:pBdr>
              <w:jc w:val="center"/>
              <w:rPr>
                <w:sz w:val="21"/>
                <w:szCs w:val="21"/>
              </w:rPr>
            </w:pPr>
            <w:r>
              <w:rPr>
                <w:sz w:val="21"/>
                <w:szCs w:val="21"/>
              </w:rPr>
              <w:t>废矿物油桶</w:t>
            </w:r>
          </w:p>
          <w:p>
            <w:pPr>
              <w:pStyle w:val="24"/>
              <w:pBdr>
                <w:top w:val="none" w:color="auto" w:sz="0" w:space="0"/>
                <w:left w:val="none" w:color="auto" w:sz="0" w:space="0"/>
                <w:bottom w:val="none" w:color="auto" w:sz="0" w:space="0"/>
                <w:right w:val="none" w:color="auto" w:sz="0" w:space="0"/>
              </w:pBdr>
              <w:jc w:val="center"/>
              <w:rPr>
                <w:sz w:val="21"/>
                <w:szCs w:val="21"/>
              </w:rPr>
            </w:pPr>
            <w:r>
              <w:rPr>
                <w:rFonts w:hint="eastAsia"/>
                <w:sz w:val="21"/>
                <w:szCs w:val="21"/>
              </w:rPr>
              <w:t>（HW</w:t>
            </w:r>
            <w:r>
              <w:rPr>
                <w:sz w:val="21"/>
                <w:szCs w:val="21"/>
              </w:rPr>
              <w:t>49/900-041-49</w:t>
            </w:r>
            <w:r>
              <w:rPr>
                <w:rFonts w:hint="eastAsia"/>
                <w:sz w:val="21"/>
                <w:szCs w:val="21"/>
              </w:rPr>
              <w:t>）</w:t>
            </w:r>
          </w:p>
        </w:tc>
        <w:tc>
          <w:tcPr>
            <w:tcW w:w="1561" w:type="pct"/>
            <w:vMerge w:val="continue"/>
            <w:tcBorders>
              <w:top w:val="single" w:color="auto" w:sz="4" w:space="0"/>
              <w:bottom w:val="single" w:color="auto" w:sz="4" w:space="0"/>
            </w:tcBorders>
            <w:vAlign w:val="center"/>
          </w:tcPr>
          <w:p>
            <w:pPr>
              <w:pStyle w:val="17"/>
              <w:jc w:val="center"/>
              <w:rPr>
                <w:rFonts w:ascii="Times New Roman" w:hAnsi="Times New Roman"/>
                <w:sz w:val="21"/>
              </w:rPr>
            </w:pPr>
          </w:p>
        </w:tc>
        <w:tc>
          <w:tcPr>
            <w:tcW w:w="1221" w:type="pct"/>
            <w:vMerge w:val="continue"/>
            <w:tcBorders>
              <w:top w:val="single" w:color="auto" w:sz="4" w:space="0"/>
              <w:bottom w:val="single" w:color="auto" w:sz="4" w:space="0"/>
            </w:tcBorders>
            <w:vAlign w:val="center"/>
          </w:tcPr>
          <w:p>
            <w:pPr>
              <w:adjustRightInd w:val="0"/>
              <w:snapToGrid w:val="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0" w:hRule="atLeast"/>
        </w:trPr>
        <w:tc>
          <w:tcPr>
            <w:tcW w:w="388" w:type="pct"/>
            <w:vMerge w:val="continue"/>
            <w:tcBorders>
              <w:top w:val="single" w:color="auto" w:sz="4" w:space="0"/>
              <w:bottom w:val="single" w:color="auto" w:sz="4" w:space="0"/>
            </w:tcBorders>
            <w:vAlign w:val="center"/>
          </w:tcPr>
          <w:p>
            <w:pPr>
              <w:adjustRightInd w:val="0"/>
              <w:snapToGrid w:val="0"/>
              <w:jc w:val="center"/>
              <w:rPr>
                <w:szCs w:val="21"/>
              </w:rPr>
            </w:pPr>
          </w:p>
        </w:tc>
        <w:tc>
          <w:tcPr>
            <w:tcW w:w="412" w:type="pct"/>
            <w:vMerge w:val="restart"/>
            <w:tcBorders>
              <w:top w:val="single" w:color="auto" w:sz="4" w:space="0"/>
              <w:bottom w:val="single" w:color="auto" w:sz="4" w:space="0"/>
            </w:tcBorders>
            <w:vAlign w:val="center"/>
          </w:tcPr>
          <w:p>
            <w:pPr>
              <w:pStyle w:val="24"/>
              <w:jc w:val="center"/>
              <w:rPr>
                <w:sz w:val="21"/>
                <w:szCs w:val="21"/>
              </w:rPr>
            </w:pPr>
            <w:r>
              <w:rPr>
                <w:rFonts w:hint="eastAsia"/>
                <w:sz w:val="21"/>
                <w:szCs w:val="21"/>
              </w:rPr>
              <w:t>一般固体废物</w:t>
            </w:r>
          </w:p>
        </w:tc>
        <w:tc>
          <w:tcPr>
            <w:tcW w:w="1418" w:type="pct"/>
            <w:gridSpan w:val="2"/>
            <w:tcBorders>
              <w:top w:val="single" w:color="auto" w:sz="4" w:space="0"/>
              <w:bottom w:val="single" w:color="auto" w:sz="4" w:space="0"/>
            </w:tcBorders>
            <w:vAlign w:val="center"/>
          </w:tcPr>
          <w:p>
            <w:pPr>
              <w:pStyle w:val="24"/>
              <w:pBdr>
                <w:top w:val="none" w:color="auto" w:sz="0" w:space="0"/>
                <w:left w:val="none" w:color="auto" w:sz="0" w:space="0"/>
                <w:bottom w:val="none" w:color="auto" w:sz="0" w:space="0"/>
                <w:right w:val="none" w:color="auto" w:sz="0" w:space="0"/>
              </w:pBdr>
              <w:jc w:val="center"/>
              <w:rPr>
                <w:sz w:val="21"/>
                <w:szCs w:val="21"/>
              </w:rPr>
            </w:pPr>
            <w:r>
              <w:rPr>
                <w:rFonts w:hint="eastAsia"/>
                <w:sz w:val="21"/>
                <w:szCs w:val="21"/>
              </w:rPr>
              <w:t>沉淀池污泥</w:t>
            </w:r>
          </w:p>
          <w:p>
            <w:pPr>
              <w:pStyle w:val="24"/>
              <w:pBdr>
                <w:top w:val="none" w:color="auto" w:sz="0" w:space="0"/>
                <w:left w:val="none" w:color="auto" w:sz="0" w:space="0"/>
                <w:bottom w:val="none" w:color="auto" w:sz="0" w:space="0"/>
                <w:right w:val="none" w:color="auto" w:sz="0" w:space="0"/>
              </w:pBdr>
              <w:jc w:val="center"/>
              <w:rPr>
                <w:sz w:val="21"/>
                <w:szCs w:val="21"/>
              </w:rPr>
            </w:pPr>
            <w:r>
              <w:rPr>
                <w:rFonts w:hint="eastAsia"/>
                <w:sz w:val="21"/>
                <w:szCs w:val="21"/>
              </w:rPr>
              <w:t>（6</w:t>
            </w:r>
            <w:r>
              <w:rPr>
                <w:sz w:val="21"/>
                <w:szCs w:val="21"/>
              </w:rPr>
              <w:t>1-900-999-61</w:t>
            </w:r>
            <w:r>
              <w:rPr>
                <w:rFonts w:hint="eastAsia"/>
                <w:sz w:val="21"/>
                <w:szCs w:val="21"/>
              </w:rPr>
              <w:t>）</w:t>
            </w:r>
          </w:p>
        </w:tc>
        <w:tc>
          <w:tcPr>
            <w:tcW w:w="1561" w:type="pct"/>
            <w:tcBorders>
              <w:top w:val="single" w:color="auto" w:sz="4" w:space="0"/>
              <w:bottom w:val="single" w:color="auto" w:sz="4" w:space="0"/>
            </w:tcBorders>
            <w:vAlign w:val="center"/>
          </w:tcPr>
          <w:p>
            <w:pPr>
              <w:pStyle w:val="17"/>
              <w:rPr>
                <w:rFonts w:ascii="Times New Roman" w:hAnsi="Times New Roman"/>
                <w:sz w:val="21"/>
              </w:rPr>
            </w:pPr>
            <w:r>
              <w:rPr>
                <w:rFonts w:hint="eastAsia" w:ascii="Times New Roman" w:hAnsi="Times New Roman"/>
                <w:sz w:val="21"/>
              </w:rPr>
              <w:t>由建设单位定期清掏后于污泥干化场（2</w:t>
            </w:r>
            <w:r>
              <w:rPr>
                <w:rFonts w:ascii="Times New Roman" w:hAnsi="Times New Roman"/>
                <w:sz w:val="21"/>
              </w:rPr>
              <w:t>0</w:t>
            </w:r>
            <w:r>
              <w:rPr>
                <w:rFonts w:hint="eastAsia" w:ascii="Times New Roman" w:hAnsi="Times New Roman"/>
                <w:sz w:val="21"/>
              </w:rPr>
              <w:t>㎡）内暂存，自然风干至含水率5</w:t>
            </w:r>
            <w:r>
              <w:rPr>
                <w:rFonts w:ascii="Times New Roman" w:hAnsi="Times New Roman"/>
                <w:sz w:val="21"/>
              </w:rPr>
              <w:t>0%</w:t>
            </w:r>
            <w:r>
              <w:rPr>
                <w:rFonts w:hint="eastAsia" w:ascii="Times New Roman" w:hAnsi="Times New Roman"/>
                <w:sz w:val="21"/>
              </w:rPr>
              <w:t>左右后外售周边砖瓦制造企业作为生产原料。</w:t>
            </w:r>
          </w:p>
        </w:tc>
        <w:tc>
          <w:tcPr>
            <w:tcW w:w="1221" w:type="pct"/>
            <w:vMerge w:val="restart"/>
            <w:tcBorders>
              <w:top w:val="single" w:color="auto" w:sz="4" w:space="0"/>
              <w:bottom w:val="single" w:color="auto" w:sz="4" w:space="0"/>
            </w:tcBorders>
            <w:vAlign w:val="center"/>
          </w:tcPr>
          <w:p>
            <w:pPr>
              <w:adjustRightInd w:val="0"/>
              <w:snapToGrid w:val="0"/>
              <w:rPr>
                <w:szCs w:val="21"/>
              </w:rPr>
            </w:pPr>
            <w:r>
              <w:rPr>
                <w:rFonts w:hint="eastAsia"/>
                <w:szCs w:val="21"/>
              </w:rPr>
              <w:t>执行《一般工业固体废物贮存和填埋污染控制标准》（GB18599-2020）相关规定要求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8" w:type="pct"/>
            <w:vMerge w:val="continue"/>
            <w:tcBorders>
              <w:top w:val="single" w:color="auto" w:sz="4" w:space="0"/>
              <w:bottom w:val="single" w:color="auto" w:sz="4" w:space="0"/>
            </w:tcBorders>
            <w:vAlign w:val="center"/>
          </w:tcPr>
          <w:p>
            <w:pPr>
              <w:adjustRightInd w:val="0"/>
              <w:snapToGrid w:val="0"/>
              <w:jc w:val="center"/>
              <w:rPr>
                <w:szCs w:val="21"/>
              </w:rPr>
            </w:pPr>
          </w:p>
        </w:tc>
        <w:tc>
          <w:tcPr>
            <w:tcW w:w="412" w:type="pct"/>
            <w:vMerge w:val="continue"/>
            <w:tcBorders>
              <w:top w:val="single" w:color="auto" w:sz="4" w:space="0"/>
              <w:bottom w:val="single" w:color="auto" w:sz="4" w:space="0"/>
            </w:tcBorders>
            <w:vAlign w:val="center"/>
          </w:tcPr>
          <w:p>
            <w:pPr>
              <w:pStyle w:val="24"/>
              <w:jc w:val="center"/>
              <w:rPr>
                <w:sz w:val="21"/>
                <w:szCs w:val="21"/>
              </w:rPr>
            </w:pPr>
          </w:p>
        </w:tc>
        <w:tc>
          <w:tcPr>
            <w:tcW w:w="1418" w:type="pct"/>
            <w:gridSpan w:val="2"/>
            <w:tcBorders>
              <w:top w:val="single" w:color="auto" w:sz="4" w:space="0"/>
              <w:bottom w:val="single" w:color="auto" w:sz="4" w:space="0"/>
            </w:tcBorders>
            <w:vAlign w:val="center"/>
          </w:tcPr>
          <w:p>
            <w:pPr>
              <w:pStyle w:val="24"/>
              <w:pBdr>
                <w:top w:val="none" w:color="auto" w:sz="0" w:space="0"/>
                <w:left w:val="none" w:color="auto" w:sz="0" w:space="0"/>
                <w:bottom w:val="none" w:color="auto" w:sz="0" w:space="0"/>
                <w:right w:val="none" w:color="auto" w:sz="0" w:space="0"/>
              </w:pBdr>
              <w:jc w:val="center"/>
              <w:rPr>
                <w:spacing w:val="-1"/>
                <w:sz w:val="21"/>
                <w:szCs w:val="21"/>
              </w:rPr>
            </w:pPr>
            <w:r>
              <w:rPr>
                <w:rFonts w:hint="eastAsia"/>
                <w:spacing w:val="-1"/>
                <w:sz w:val="21"/>
                <w:szCs w:val="21"/>
              </w:rPr>
              <w:t>化粪池污泥</w:t>
            </w:r>
          </w:p>
          <w:p>
            <w:pPr>
              <w:pStyle w:val="24"/>
              <w:pBdr>
                <w:top w:val="none" w:color="auto" w:sz="0" w:space="0"/>
                <w:left w:val="none" w:color="auto" w:sz="0" w:space="0"/>
                <w:bottom w:val="none" w:color="auto" w:sz="0" w:space="0"/>
                <w:right w:val="none" w:color="auto" w:sz="0" w:space="0"/>
              </w:pBdr>
              <w:jc w:val="center"/>
              <w:rPr>
                <w:spacing w:val="-1"/>
                <w:sz w:val="21"/>
                <w:szCs w:val="21"/>
              </w:rPr>
            </w:pPr>
            <w:r>
              <w:rPr>
                <w:rFonts w:hint="eastAsia"/>
                <w:sz w:val="21"/>
                <w:szCs w:val="21"/>
              </w:rPr>
              <w:t>（6</w:t>
            </w:r>
            <w:r>
              <w:rPr>
                <w:sz w:val="21"/>
                <w:szCs w:val="21"/>
              </w:rPr>
              <w:t>1-900-999-61</w:t>
            </w:r>
            <w:r>
              <w:rPr>
                <w:rFonts w:hint="eastAsia"/>
                <w:sz w:val="21"/>
                <w:szCs w:val="21"/>
              </w:rPr>
              <w:t>）</w:t>
            </w:r>
          </w:p>
        </w:tc>
        <w:tc>
          <w:tcPr>
            <w:tcW w:w="1561" w:type="pct"/>
            <w:tcBorders>
              <w:top w:val="single" w:color="auto" w:sz="4" w:space="0"/>
              <w:bottom w:val="single" w:color="auto" w:sz="4" w:space="0"/>
            </w:tcBorders>
            <w:vAlign w:val="center"/>
          </w:tcPr>
          <w:p>
            <w:pPr>
              <w:pStyle w:val="17"/>
              <w:rPr>
                <w:rFonts w:ascii="Times New Roman" w:hAnsi="Times New Roman"/>
                <w:sz w:val="21"/>
              </w:rPr>
            </w:pPr>
            <w:r>
              <w:rPr>
                <w:rFonts w:hint="eastAsia" w:ascii="Times New Roman" w:hAnsi="Times New Roman"/>
                <w:sz w:val="21"/>
              </w:rPr>
              <w:t>由建设单位定期清掏后作为农肥施用于厂区内绿化。</w:t>
            </w:r>
          </w:p>
        </w:tc>
        <w:tc>
          <w:tcPr>
            <w:tcW w:w="1221" w:type="pct"/>
            <w:vMerge w:val="continue"/>
            <w:tcBorders>
              <w:top w:val="single" w:color="auto" w:sz="4" w:space="0"/>
              <w:bottom w:val="single" w:color="auto" w:sz="4" w:space="0"/>
            </w:tcBorders>
            <w:vAlign w:val="center"/>
          </w:tcPr>
          <w:p>
            <w:pPr>
              <w:adjustRightInd w:val="0"/>
              <w:snapToGrid w:val="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8" w:type="pct"/>
            <w:vMerge w:val="continue"/>
            <w:tcBorders>
              <w:top w:val="single" w:color="auto" w:sz="4" w:space="0"/>
              <w:bottom w:val="single" w:color="auto" w:sz="4" w:space="0"/>
            </w:tcBorders>
            <w:vAlign w:val="center"/>
          </w:tcPr>
          <w:p>
            <w:pPr>
              <w:adjustRightInd w:val="0"/>
              <w:snapToGrid w:val="0"/>
              <w:jc w:val="center"/>
              <w:rPr>
                <w:szCs w:val="21"/>
              </w:rPr>
            </w:pPr>
          </w:p>
        </w:tc>
        <w:tc>
          <w:tcPr>
            <w:tcW w:w="1830" w:type="pct"/>
            <w:gridSpan w:val="3"/>
            <w:tcBorders>
              <w:top w:val="single" w:color="auto" w:sz="4" w:space="0"/>
              <w:bottom w:val="single" w:color="auto" w:sz="4" w:space="0"/>
            </w:tcBorders>
            <w:vAlign w:val="center"/>
          </w:tcPr>
          <w:p>
            <w:pPr>
              <w:pStyle w:val="24"/>
              <w:pBdr>
                <w:top w:val="none" w:color="auto" w:sz="0" w:space="0"/>
                <w:left w:val="none" w:color="auto" w:sz="0" w:space="0"/>
                <w:bottom w:val="none" w:color="auto" w:sz="0" w:space="0"/>
                <w:right w:val="none" w:color="auto" w:sz="0" w:space="0"/>
              </w:pBdr>
              <w:jc w:val="center"/>
              <w:rPr>
                <w:sz w:val="21"/>
                <w:szCs w:val="21"/>
              </w:rPr>
            </w:pPr>
            <w:r>
              <w:rPr>
                <w:sz w:val="21"/>
                <w:szCs w:val="21"/>
              </w:rPr>
              <w:t>生活垃圾</w:t>
            </w:r>
            <w:r>
              <w:rPr>
                <w:rFonts w:hint="eastAsia"/>
                <w:sz w:val="21"/>
                <w:szCs w:val="21"/>
              </w:rPr>
              <w:t>、含油废棉纱/手套</w:t>
            </w:r>
          </w:p>
        </w:tc>
        <w:tc>
          <w:tcPr>
            <w:tcW w:w="2782" w:type="pct"/>
            <w:gridSpan w:val="2"/>
            <w:tcBorders>
              <w:top w:val="single" w:color="auto" w:sz="4" w:space="0"/>
              <w:bottom w:val="single" w:color="auto" w:sz="4" w:space="0"/>
            </w:tcBorders>
            <w:vAlign w:val="center"/>
          </w:tcPr>
          <w:p>
            <w:pPr>
              <w:adjustRightInd w:val="0"/>
              <w:snapToGrid w:val="0"/>
              <w:rPr>
                <w:szCs w:val="21"/>
              </w:rPr>
            </w:pPr>
            <w:r>
              <w:rPr>
                <w:rFonts w:hint="eastAsia"/>
                <w:szCs w:val="21"/>
              </w:rPr>
              <w:t>生活垃圾经收集后由建设单位清运至区域指定生活垃圾集中收集点处置点进行处置。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8" w:type="pct"/>
            <w:tcBorders>
              <w:top w:val="single" w:color="auto" w:sz="4" w:space="0"/>
              <w:bottom w:val="single" w:color="auto" w:sz="4" w:space="0"/>
            </w:tcBorders>
            <w:vAlign w:val="center"/>
          </w:tcPr>
          <w:p>
            <w:pPr>
              <w:adjustRightInd w:val="0"/>
              <w:snapToGrid w:val="0"/>
              <w:jc w:val="center"/>
              <w:rPr>
                <w:sz w:val="24"/>
              </w:rPr>
            </w:pPr>
            <w:r>
              <w:rPr>
                <w:sz w:val="24"/>
              </w:rPr>
              <w:t>土壤及地下水污染防治措施</w:t>
            </w:r>
          </w:p>
        </w:tc>
        <w:tc>
          <w:tcPr>
            <w:tcW w:w="4612" w:type="pct"/>
            <w:gridSpan w:val="5"/>
            <w:tcBorders>
              <w:top w:val="single" w:color="auto" w:sz="4" w:space="0"/>
              <w:bottom w:val="single" w:color="auto" w:sz="4" w:space="0"/>
            </w:tcBorders>
            <w:vAlign w:val="center"/>
          </w:tcPr>
          <w:p>
            <w:pPr>
              <w:adjustRightInd w:val="0"/>
              <w:snapToGrid w:val="0"/>
              <w:spacing w:line="360" w:lineRule="auto"/>
              <w:ind w:firstLine="480" w:firstLineChars="200"/>
              <w:rPr>
                <w:sz w:val="24"/>
              </w:rPr>
            </w:pPr>
            <w:r>
              <w:rPr>
                <w:rFonts w:hint="eastAsia"/>
                <w:sz w:val="24"/>
              </w:rPr>
              <w:t>围堰措施：危废暂存间内部设置砖砌围堰，围堰高度300mm，宽度100mm。</w:t>
            </w:r>
          </w:p>
          <w:p>
            <w:pPr>
              <w:adjustRightInd w:val="0"/>
              <w:snapToGrid w:val="0"/>
              <w:spacing w:line="360" w:lineRule="auto"/>
              <w:ind w:firstLine="480" w:firstLineChars="200"/>
              <w:rPr>
                <w:sz w:val="24"/>
              </w:rPr>
            </w:pPr>
            <w:r>
              <w:rPr>
                <w:rFonts w:hint="eastAsia"/>
                <w:sz w:val="24"/>
              </w:rPr>
              <w:t>分区防渗措施：危废暂存间内部进行重点防渗处理，防渗系数要求达等效黏土防渗层Mb≥6.0m，K≤1×10</w:t>
            </w:r>
            <w:r>
              <w:rPr>
                <w:rFonts w:hint="eastAsia"/>
                <w:sz w:val="24"/>
                <w:vertAlign w:val="superscript"/>
              </w:rPr>
              <w:t>-7</w:t>
            </w:r>
            <w:r>
              <w:rPr>
                <w:rFonts w:hint="eastAsia"/>
                <w:sz w:val="24"/>
              </w:rPr>
              <w:t>cm/s，或参照GB18598执行，具体措施如下：</w:t>
            </w:r>
          </w:p>
          <w:p>
            <w:pPr>
              <w:adjustRightInd w:val="0"/>
              <w:snapToGrid w:val="0"/>
              <w:spacing w:line="360" w:lineRule="auto"/>
              <w:ind w:firstLine="480" w:firstLineChars="200"/>
              <w:rPr>
                <w:sz w:val="24"/>
              </w:rPr>
            </w:pPr>
            <w:r>
              <w:rPr>
                <w:rFonts w:hint="eastAsia"/>
                <w:sz w:val="24"/>
              </w:rPr>
              <w:t>①底部重点防渗措施：</w:t>
            </w:r>
          </w:p>
          <w:p>
            <w:pPr>
              <w:adjustRightInd w:val="0"/>
              <w:snapToGrid w:val="0"/>
              <w:spacing w:line="360" w:lineRule="auto"/>
              <w:ind w:firstLine="480" w:firstLineChars="200"/>
              <w:rPr>
                <w:sz w:val="24"/>
              </w:rPr>
            </w:pPr>
            <w:r>
              <w:rPr>
                <w:rFonts w:hint="eastAsia"/>
                <w:sz w:val="24"/>
              </w:rPr>
              <w:t>A、素土夯实，压缩系数不小于0.94；</w:t>
            </w:r>
          </w:p>
          <w:p>
            <w:pPr>
              <w:adjustRightInd w:val="0"/>
              <w:snapToGrid w:val="0"/>
              <w:spacing w:line="360" w:lineRule="auto"/>
              <w:ind w:firstLine="480" w:firstLineChars="200"/>
              <w:rPr>
                <w:sz w:val="24"/>
              </w:rPr>
            </w:pPr>
            <w:r>
              <w:rPr>
                <w:rFonts w:hint="eastAsia"/>
                <w:sz w:val="24"/>
              </w:rPr>
              <w:t>B、100mm厚C15混凝土垫层一道；</w:t>
            </w:r>
          </w:p>
          <w:p>
            <w:pPr>
              <w:adjustRightInd w:val="0"/>
              <w:snapToGrid w:val="0"/>
              <w:spacing w:line="360" w:lineRule="auto"/>
              <w:ind w:firstLine="480" w:firstLineChars="200"/>
              <w:rPr>
                <w:sz w:val="24"/>
              </w:rPr>
            </w:pPr>
            <w:r>
              <w:rPr>
                <w:rFonts w:hint="eastAsia"/>
                <w:sz w:val="24"/>
              </w:rPr>
              <w:t>C、20mm厚1:2防水砂浆找平；</w:t>
            </w:r>
          </w:p>
          <w:p>
            <w:pPr>
              <w:adjustRightInd w:val="0"/>
              <w:snapToGrid w:val="0"/>
              <w:spacing w:line="360" w:lineRule="auto"/>
              <w:ind w:firstLine="480" w:firstLineChars="200"/>
              <w:rPr>
                <w:sz w:val="24"/>
              </w:rPr>
            </w:pPr>
            <w:r>
              <w:rPr>
                <w:rFonts w:hint="eastAsia"/>
                <w:sz w:val="24"/>
              </w:rPr>
              <w:t>D、100mm厚P8抗渗混凝土一道；</w:t>
            </w:r>
          </w:p>
          <w:p>
            <w:pPr>
              <w:adjustRightInd w:val="0"/>
              <w:snapToGrid w:val="0"/>
              <w:spacing w:line="360" w:lineRule="auto"/>
              <w:ind w:firstLine="480" w:firstLineChars="200"/>
              <w:rPr>
                <w:sz w:val="24"/>
              </w:rPr>
            </w:pPr>
            <w:r>
              <w:rPr>
                <w:rFonts w:hint="eastAsia"/>
                <w:sz w:val="24"/>
              </w:rPr>
              <w:t>E、20mm厚1:2防水砂浆找平；</w:t>
            </w:r>
          </w:p>
          <w:p>
            <w:pPr>
              <w:adjustRightInd w:val="0"/>
              <w:snapToGrid w:val="0"/>
              <w:spacing w:line="360" w:lineRule="auto"/>
              <w:ind w:firstLine="480" w:firstLineChars="200"/>
              <w:rPr>
                <w:sz w:val="24"/>
              </w:rPr>
            </w:pPr>
            <w:r>
              <w:rPr>
                <w:rFonts w:hint="eastAsia"/>
                <w:sz w:val="24"/>
              </w:rPr>
              <w:t>F、环氧树脂一道，厚度不小于2mm。</w:t>
            </w:r>
          </w:p>
          <w:p>
            <w:pPr>
              <w:adjustRightInd w:val="0"/>
              <w:snapToGrid w:val="0"/>
              <w:spacing w:line="360" w:lineRule="auto"/>
              <w:ind w:firstLine="480" w:firstLineChars="200"/>
              <w:rPr>
                <w:sz w:val="24"/>
              </w:rPr>
            </w:pPr>
            <w:r>
              <w:rPr>
                <w:rFonts w:hint="eastAsia"/>
                <w:sz w:val="24"/>
              </w:rPr>
              <w:t>②围堰内壁防渗措施：</w:t>
            </w:r>
          </w:p>
          <w:p>
            <w:pPr>
              <w:adjustRightInd w:val="0"/>
              <w:snapToGrid w:val="0"/>
              <w:spacing w:line="360" w:lineRule="auto"/>
              <w:ind w:firstLine="480" w:firstLineChars="200"/>
              <w:rPr>
                <w:sz w:val="24"/>
              </w:rPr>
            </w:pPr>
            <w:r>
              <w:rPr>
                <w:rFonts w:hint="eastAsia"/>
                <w:sz w:val="24"/>
              </w:rPr>
              <w:t>A、50mm厚P8抗渗混凝土保护层1道；</w:t>
            </w:r>
          </w:p>
          <w:p>
            <w:pPr>
              <w:adjustRightInd w:val="0"/>
              <w:snapToGrid w:val="0"/>
              <w:spacing w:line="360" w:lineRule="auto"/>
              <w:ind w:firstLine="480" w:firstLineChars="200"/>
              <w:rPr>
                <w:sz w:val="24"/>
              </w:rPr>
            </w:pPr>
            <w:r>
              <w:rPr>
                <w:rFonts w:hint="eastAsia"/>
                <w:sz w:val="24"/>
              </w:rPr>
              <w:t>B、20mm厚1:2防水砂浆找平；</w:t>
            </w:r>
          </w:p>
          <w:p>
            <w:pPr>
              <w:adjustRightInd w:val="0"/>
              <w:snapToGrid w:val="0"/>
              <w:spacing w:line="360" w:lineRule="auto"/>
              <w:rPr>
                <w:sz w:val="24"/>
              </w:rPr>
            </w:pPr>
            <w:r>
              <w:rPr>
                <w:rFonts w:hint="eastAsia"/>
                <w:sz w:val="24"/>
              </w:rPr>
              <w:t>C、环氧树脂一道，厚度不小于2mm。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0" w:hRule="atLeast"/>
        </w:trPr>
        <w:tc>
          <w:tcPr>
            <w:tcW w:w="388" w:type="pct"/>
            <w:tcBorders>
              <w:top w:val="single" w:color="auto" w:sz="4" w:space="0"/>
              <w:bottom w:val="single" w:color="auto" w:sz="4" w:space="0"/>
            </w:tcBorders>
            <w:vAlign w:val="center"/>
          </w:tcPr>
          <w:p>
            <w:pPr>
              <w:adjustRightInd w:val="0"/>
              <w:snapToGrid w:val="0"/>
              <w:jc w:val="center"/>
              <w:rPr>
                <w:sz w:val="24"/>
              </w:rPr>
            </w:pPr>
            <w:r>
              <w:rPr>
                <w:sz w:val="24"/>
              </w:rPr>
              <w:t>生态保护措施</w:t>
            </w:r>
          </w:p>
        </w:tc>
        <w:tc>
          <w:tcPr>
            <w:tcW w:w="4612" w:type="pct"/>
            <w:gridSpan w:val="5"/>
            <w:tcBorders>
              <w:top w:val="single" w:color="auto" w:sz="4" w:space="0"/>
              <w:bottom w:val="single" w:color="auto" w:sz="4" w:space="0"/>
            </w:tcBorders>
            <w:vAlign w:val="center"/>
          </w:tcPr>
          <w:p>
            <w:pPr>
              <w:adjustRightInd w:val="0"/>
              <w:snapToGrid w:val="0"/>
              <w:rPr>
                <w:sz w:val="24"/>
              </w:rPr>
            </w:pPr>
            <w:r>
              <w:rPr>
                <w:rFonts w:hint="eastAsia"/>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8" w:type="pct"/>
            <w:tcBorders>
              <w:top w:val="single" w:color="auto" w:sz="4" w:space="0"/>
              <w:bottom w:val="single" w:color="auto" w:sz="4" w:space="0"/>
            </w:tcBorders>
            <w:vAlign w:val="center"/>
          </w:tcPr>
          <w:p>
            <w:pPr>
              <w:adjustRightInd w:val="0"/>
              <w:snapToGrid w:val="0"/>
              <w:jc w:val="center"/>
              <w:rPr>
                <w:sz w:val="24"/>
              </w:rPr>
            </w:pPr>
            <w:r>
              <w:rPr>
                <w:sz w:val="24"/>
              </w:rPr>
              <w:t>环境风险防范措施</w:t>
            </w:r>
          </w:p>
        </w:tc>
        <w:tc>
          <w:tcPr>
            <w:tcW w:w="4612" w:type="pct"/>
            <w:gridSpan w:val="5"/>
            <w:tcBorders>
              <w:top w:val="single" w:color="auto" w:sz="4" w:space="0"/>
              <w:bottom w:val="single" w:color="auto" w:sz="4" w:space="0"/>
            </w:tcBorders>
            <w:vAlign w:val="center"/>
          </w:tcPr>
          <w:p>
            <w:pPr>
              <w:pStyle w:val="63"/>
              <w:keepNext/>
              <w:keepLines/>
              <w:adjustRightInd w:val="0"/>
              <w:rPr>
                <w:rFonts w:ascii="Times New Roman" w:hAnsi="Times New Roman"/>
                <w:b w:val="0"/>
                <w:sz w:val="24"/>
                <w:szCs w:val="24"/>
              </w:rPr>
            </w:pPr>
            <w:r>
              <w:rPr>
                <w:rFonts w:ascii="Times New Roman" w:hAnsi="Times New Roman"/>
                <w:b w:val="0"/>
                <w:sz w:val="24"/>
                <w:szCs w:val="24"/>
              </w:rPr>
              <w:t>（1）项目危废暂存间内部设置围堰并进行重点防渗处理，定期进行检查，检查的重点为有无人为破坏，有无泄漏，做到有问题及时发现，及时处理；</w:t>
            </w:r>
          </w:p>
          <w:p>
            <w:pPr>
              <w:pStyle w:val="63"/>
              <w:keepNext/>
              <w:keepLines/>
              <w:adjustRightInd w:val="0"/>
              <w:rPr>
                <w:rFonts w:ascii="Times New Roman" w:hAnsi="Times New Roman"/>
                <w:b w:val="0"/>
                <w:sz w:val="24"/>
                <w:szCs w:val="24"/>
              </w:rPr>
            </w:pPr>
            <w:r>
              <w:rPr>
                <w:rFonts w:ascii="Times New Roman" w:hAnsi="Times New Roman"/>
                <w:b w:val="0"/>
                <w:sz w:val="24"/>
                <w:szCs w:val="24"/>
              </w:rPr>
              <w:t>（2）危险废物在厂区使用专用容器，并将收集容器贴上标签，存储于危废暂存间内委托有资质的单位处理。在运输前到当地环保部门提交危废转移申请表，领取危险废物转移联单，在运输过程中严格按要求填写“五联单”，转移完成后将相应联单提交到相关单位，并且建立台账，并与有资质的单位签危险废物处理书面协议。危废暂存间必须派专人进行管理，并严格执行危废暂存间的管理制度，降低管理产生的风险。</w:t>
            </w:r>
          </w:p>
          <w:p>
            <w:pPr>
              <w:pStyle w:val="63"/>
              <w:keepNext/>
              <w:keepLines/>
              <w:adjustRightInd w:val="0"/>
              <w:rPr>
                <w:rFonts w:ascii="Times New Roman" w:hAnsi="Times New Roman"/>
                <w:b w:val="0"/>
                <w:sz w:val="24"/>
                <w:szCs w:val="24"/>
              </w:rPr>
            </w:pPr>
            <w:r>
              <w:rPr>
                <w:rFonts w:ascii="Times New Roman" w:hAnsi="Times New Roman"/>
                <w:b w:val="0"/>
                <w:sz w:val="24"/>
                <w:szCs w:val="24"/>
              </w:rPr>
              <w:t>（3）暂存区需设置符合标准的灭火设备，设置明显的警示牌，告诫禁止明火、禁止吸烟。</w:t>
            </w:r>
          </w:p>
          <w:p>
            <w:pPr>
              <w:pStyle w:val="63"/>
              <w:keepNext/>
              <w:keepLines/>
              <w:adjustRightInd w:val="0"/>
              <w:rPr>
                <w:rFonts w:ascii="Times New Roman" w:hAnsi="Times New Roman"/>
                <w:b w:val="0"/>
                <w:sz w:val="24"/>
                <w:szCs w:val="24"/>
              </w:rPr>
            </w:pPr>
            <w:r>
              <w:rPr>
                <w:rFonts w:ascii="Times New Roman" w:hAnsi="Times New Roman"/>
                <w:b w:val="0"/>
                <w:sz w:val="24"/>
                <w:szCs w:val="24"/>
              </w:rPr>
              <w:t>（4）加强对油桶渗漏的防护，对储存区进行定期检查，对泄漏到围堰内的物料应使用临时抽吸系统尽快收集，减少着火的机会，</w:t>
            </w:r>
            <w:r>
              <w:rPr>
                <w:rFonts w:hint="eastAsia" w:ascii="Times New Roman" w:hAnsi="Times New Roman"/>
                <w:b w:val="0"/>
                <w:sz w:val="24"/>
                <w:szCs w:val="24"/>
              </w:rPr>
              <w:t>一旦</w:t>
            </w:r>
            <w:r>
              <w:rPr>
                <w:rFonts w:ascii="Times New Roman" w:hAnsi="Times New Roman"/>
                <w:b w:val="0"/>
                <w:sz w:val="24"/>
                <w:szCs w:val="24"/>
              </w:rPr>
              <w:t>发生火灾事故，要尽快使用已有的消防设施扑救，疏散周围人群，远离事故区。</w:t>
            </w:r>
          </w:p>
          <w:p>
            <w:pPr>
              <w:pStyle w:val="63"/>
              <w:keepNext/>
              <w:keepLines/>
              <w:adjustRightInd w:val="0"/>
              <w:rPr>
                <w:rFonts w:ascii="Times New Roman" w:hAnsi="Times New Roman"/>
                <w:b w:val="0"/>
                <w:sz w:val="24"/>
                <w:szCs w:val="24"/>
              </w:rPr>
            </w:pPr>
            <w:r>
              <w:rPr>
                <w:rFonts w:ascii="Times New Roman" w:hAnsi="Times New Roman"/>
                <w:b w:val="0"/>
                <w:sz w:val="24"/>
                <w:szCs w:val="24"/>
              </w:rPr>
              <w:t>（5）危险废物在厂区使用专用容器，并将收集容器贴上标签，存储于危废暂存间内委托有资质的单位处理。在运输前到当地环保部门提交危废转移申请表，领取危险废物转移联单，在运输过程中严格按要求填写“五联单”，转移完成后将相应联单提交到相关单位，并且建立台账，并与有资质的单位签危险废物处理书面协议。危废暂存间必须派专人进行管理，并严格执行危废暂存间的管理制度，降低管理产生的风险。</w:t>
            </w:r>
          </w:p>
          <w:p>
            <w:pPr>
              <w:spacing w:line="360" w:lineRule="auto"/>
              <w:rPr>
                <w:snapToGrid w:val="0"/>
                <w:spacing w:val="-2"/>
                <w:sz w:val="24"/>
              </w:rPr>
            </w:pPr>
            <w:r>
              <w:rPr>
                <w:kern w:val="44"/>
                <w:sz w:val="24"/>
              </w:rPr>
              <w:t>（6）加强员工的责任心和</w:t>
            </w:r>
            <w:r>
              <w:rPr>
                <w:rFonts w:hint="eastAsia"/>
                <w:kern w:val="44"/>
                <w:sz w:val="24"/>
                <w:lang w:eastAsia="zh-CN"/>
              </w:rPr>
              <w:t>主观能动性</w:t>
            </w:r>
            <w:r>
              <w:rPr>
                <w:kern w:val="44"/>
                <w:sz w:val="24"/>
              </w:rPr>
              <w:t>；完善并严格遵守相关的操作规程，加强岗位培训，落实岗位责任制；加强设备管理，对易发生渗漏的部位加强检查；建立一套完善的安全管理制度，执行工业安全卫生、劳动保护、环保、消防等相关规定。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8" w:type="pct"/>
            <w:tcBorders>
              <w:top w:val="single" w:color="auto" w:sz="4" w:space="0"/>
            </w:tcBorders>
            <w:vAlign w:val="center"/>
          </w:tcPr>
          <w:p>
            <w:pPr>
              <w:adjustRightInd w:val="0"/>
              <w:snapToGrid w:val="0"/>
              <w:jc w:val="center"/>
              <w:rPr>
                <w:spacing w:val="-8"/>
                <w:sz w:val="24"/>
              </w:rPr>
            </w:pPr>
            <w:r>
              <w:rPr>
                <w:bCs/>
                <w:spacing w:val="-8"/>
                <w:sz w:val="24"/>
              </w:rPr>
              <w:t>其他环境管理要求</w:t>
            </w:r>
          </w:p>
        </w:tc>
        <w:tc>
          <w:tcPr>
            <w:tcW w:w="4612" w:type="pct"/>
            <w:gridSpan w:val="5"/>
            <w:tcBorders>
              <w:top w:val="single" w:color="auto" w:sz="4" w:space="0"/>
              <w:bottom w:val="single" w:color="auto" w:sz="4" w:space="0"/>
            </w:tcBorders>
            <w:vAlign w:val="center"/>
          </w:tcPr>
          <w:p>
            <w:pPr>
              <w:adjustRightInd w:val="0"/>
              <w:snapToGrid w:val="0"/>
              <w:spacing w:line="360" w:lineRule="auto"/>
              <w:rPr>
                <w:b/>
                <w:bCs/>
                <w:sz w:val="24"/>
              </w:rPr>
            </w:pPr>
            <w:r>
              <w:rPr>
                <w:rFonts w:hint="eastAsia"/>
                <w:b/>
                <w:bCs/>
                <w:sz w:val="24"/>
              </w:rPr>
              <w:t>（一）环保投资概算</w:t>
            </w:r>
          </w:p>
          <w:p>
            <w:pPr>
              <w:adjustRightInd w:val="0"/>
              <w:snapToGrid w:val="0"/>
              <w:spacing w:line="360" w:lineRule="auto"/>
              <w:ind w:firstLine="480" w:firstLineChars="200"/>
              <w:rPr>
                <w:sz w:val="24"/>
              </w:rPr>
            </w:pPr>
            <w:bookmarkStart w:id="63" w:name="_Hlk130213542"/>
            <w:r>
              <w:rPr>
                <w:rFonts w:hint="eastAsia"/>
                <w:sz w:val="24"/>
              </w:rPr>
              <w:t>本项目总投资约</w:t>
            </w:r>
            <w:r>
              <w:rPr>
                <w:sz w:val="24"/>
              </w:rPr>
              <w:t>700.0</w:t>
            </w:r>
            <w:r>
              <w:rPr>
                <w:rFonts w:hint="eastAsia"/>
                <w:sz w:val="24"/>
              </w:rPr>
              <w:t>万元，估算环保投资约</w:t>
            </w:r>
            <w:r>
              <w:rPr>
                <w:sz w:val="24"/>
              </w:rPr>
              <w:t>87.2</w:t>
            </w:r>
            <w:r>
              <w:rPr>
                <w:rFonts w:hint="eastAsia"/>
                <w:sz w:val="24"/>
              </w:rPr>
              <w:t>万元，环保投资占比</w:t>
            </w:r>
            <w:r>
              <w:rPr>
                <w:sz w:val="24"/>
              </w:rPr>
              <w:t>12.46%</w:t>
            </w:r>
            <w:r>
              <w:rPr>
                <w:rFonts w:hint="eastAsia"/>
                <w:sz w:val="24"/>
              </w:rPr>
              <w:t>。</w:t>
            </w:r>
          </w:p>
          <w:bookmarkEnd w:id="63"/>
          <w:p>
            <w:pPr>
              <w:adjustRightInd w:val="0"/>
              <w:snapToGrid w:val="0"/>
              <w:jc w:val="center"/>
              <w:rPr>
                <w:b/>
                <w:bCs/>
                <w:sz w:val="24"/>
              </w:rPr>
            </w:pPr>
            <w:r>
              <w:rPr>
                <w:rFonts w:hint="eastAsia"/>
                <w:b/>
                <w:bCs/>
                <w:sz w:val="24"/>
              </w:rPr>
              <w:t>表5</w:t>
            </w:r>
            <w:r>
              <w:rPr>
                <w:b/>
                <w:bCs/>
                <w:sz w:val="24"/>
              </w:rPr>
              <w:t xml:space="preserve">.1-1  </w:t>
            </w:r>
            <w:r>
              <w:rPr>
                <w:rFonts w:hint="eastAsia"/>
                <w:b/>
                <w:bCs/>
                <w:sz w:val="24"/>
              </w:rPr>
              <w:t xml:space="preserve">项目环保投资概算一览表 </w:t>
            </w:r>
            <w:r>
              <w:rPr>
                <w:b/>
                <w:bCs/>
                <w:sz w:val="24"/>
              </w:rPr>
              <w:t xml:space="preserve"> </w:t>
            </w:r>
            <w:r>
              <w:rPr>
                <w:rFonts w:hint="eastAsia"/>
                <w:b/>
                <w:bCs/>
                <w:sz w:val="24"/>
              </w:rPr>
              <w:t>单位：万元</w:t>
            </w:r>
          </w:p>
          <w:tbl>
            <w:tblPr>
              <w:tblStyle w:val="3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6"/>
              <w:gridCol w:w="1320"/>
              <w:gridCol w:w="4852"/>
              <w:gridCol w:w="8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b/>
                      <w:bCs/>
                      <w:szCs w:val="21"/>
                    </w:rPr>
                  </w:pPr>
                  <w:r>
                    <w:rPr>
                      <w:rFonts w:hint="eastAsia"/>
                      <w:b/>
                      <w:bCs/>
                      <w:szCs w:val="21"/>
                    </w:rPr>
                    <w:t>类别</w:t>
                  </w:r>
                </w:p>
              </w:tc>
              <w:tc>
                <w:tcPr>
                  <w:tcW w:w="0" w:type="auto"/>
                  <w:vAlign w:val="center"/>
                </w:tcPr>
                <w:p>
                  <w:pPr>
                    <w:adjustRightInd w:val="0"/>
                    <w:snapToGrid w:val="0"/>
                    <w:jc w:val="center"/>
                    <w:rPr>
                      <w:b/>
                      <w:bCs/>
                      <w:szCs w:val="21"/>
                    </w:rPr>
                  </w:pPr>
                  <w:r>
                    <w:rPr>
                      <w:rFonts w:hint="eastAsia"/>
                      <w:b/>
                      <w:bCs/>
                      <w:szCs w:val="21"/>
                    </w:rPr>
                    <w:t>对象</w:t>
                  </w:r>
                </w:p>
              </w:tc>
              <w:tc>
                <w:tcPr>
                  <w:tcW w:w="0" w:type="auto"/>
                  <w:vAlign w:val="center"/>
                </w:tcPr>
                <w:p>
                  <w:pPr>
                    <w:adjustRightInd w:val="0"/>
                    <w:snapToGrid w:val="0"/>
                    <w:jc w:val="center"/>
                    <w:rPr>
                      <w:b/>
                      <w:bCs/>
                      <w:szCs w:val="21"/>
                    </w:rPr>
                  </w:pPr>
                  <w:r>
                    <w:rPr>
                      <w:rFonts w:hint="eastAsia"/>
                      <w:b/>
                      <w:bCs/>
                      <w:szCs w:val="21"/>
                    </w:rPr>
                    <w:t>设施、措施</w:t>
                  </w:r>
                </w:p>
              </w:tc>
              <w:tc>
                <w:tcPr>
                  <w:tcW w:w="0" w:type="auto"/>
                  <w:vAlign w:val="center"/>
                </w:tcPr>
                <w:p>
                  <w:pPr>
                    <w:adjustRightInd w:val="0"/>
                    <w:snapToGrid w:val="0"/>
                    <w:jc w:val="center"/>
                    <w:rPr>
                      <w:b/>
                      <w:bCs/>
                      <w:szCs w:val="21"/>
                    </w:rPr>
                  </w:pPr>
                  <w:r>
                    <w:rPr>
                      <w:rFonts w:hint="eastAsia"/>
                      <w:b/>
                      <w:bCs/>
                      <w:szCs w:val="21"/>
                    </w:rPr>
                    <w:t>估算投资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restart"/>
                  <w:vAlign w:val="center"/>
                </w:tcPr>
                <w:p>
                  <w:pPr>
                    <w:adjustRightInd w:val="0"/>
                    <w:snapToGrid w:val="0"/>
                    <w:jc w:val="center"/>
                    <w:rPr>
                      <w:bCs/>
                      <w:szCs w:val="21"/>
                    </w:rPr>
                  </w:pPr>
                  <w:r>
                    <w:rPr>
                      <w:rFonts w:hint="eastAsia"/>
                      <w:bCs/>
                      <w:szCs w:val="21"/>
                    </w:rPr>
                    <w:t>废水</w:t>
                  </w:r>
                </w:p>
              </w:tc>
              <w:tc>
                <w:tcPr>
                  <w:tcW w:w="0" w:type="auto"/>
                  <w:vMerge w:val="restart"/>
                  <w:vAlign w:val="center"/>
                </w:tcPr>
                <w:p>
                  <w:pPr>
                    <w:adjustRightInd w:val="0"/>
                    <w:snapToGrid w:val="0"/>
                    <w:jc w:val="center"/>
                    <w:rPr>
                      <w:bCs/>
                      <w:szCs w:val="21"/>
                    </w:rPr>
                  </w:pPr>
                  <w:r>
                    <w:rPr>
                      <w:rFonts w:hint="eastAsia"/>
                      <w:bCs/>
                      <w:szCs w:val="21"/>
                    </w:rPr>
                    <w:t>初期雨水</w:t>
                  </w:r>
                </w:p>
              </w:tc>
              <w:tc>
                <w:tcPr>
                  <w:tcW w:w="0" w:type="auto"/>
                  <w:vAlign w:val="center"/>
                </w:tcPr>
                <w:p>
                  <w:pPr>
                    <w:adjustRightInd w:val="0"/>
                    <w:snapToGrid w:val="0"/>
                    <w:rPr>
                      <w:bCs/>
                      <w:szCs w:val="21"/>
                    </w:rPr>
                  </w:pPr>
                  <w:r>
                    <w:rPr>
                      <w:rFonts w:hint="eastAsia"/>
                      <w:bCs/>
                      <w:szCs w:val="21"/>
                    </w:rPr>
                    <w:t>混凝土浇筑截排水沟约4</w:t>
                  </w:r>
                  <w:r>
                    <w:rPr>
                      <w:bCs/>
                      <w:szCs w:val="21"/>
                    </w:rPr>
                    <w:t>45</w:t>
                  </w:r>
                  <w:r>
                    <w:rPr>
                      <w:rFonts w:hint="eastAsia"/>
                      <w:bCs/>
                      <w:szCs w:val="21"/>
                    </w:rPr>
                    <w:t>m，尺寸：3</w:t>
                  </w:r>
                  <w:r>
                    <w:rPr>
                      <w:bCs/>
                      <w:szCs w:val="21"/>
                    </w:rPr>
                    <w:t>0</w:t>
                  </w:r>
                  <w:r>
                    <w:rPr>
                      <w:rFonts w:hint="eastAsia"/>
                      <w:bCs/>
                      <w:szCs w:val="21"/>
                    </w:rPr>
                    <w:t>cm</w:t>
                  </w:r>
                  <w:r>
                    <w:rPr>
                      <w:bCs/>
                      <w:szCs w:val="21"/>
                    </w:rPr>
                    <w:t>*30</w:t>
                  </w:r>
                  <w:r>
                    <w:rPr>
                      <w:rFonts w:hint="eastAsia"/>
                      <w:bCs/>
                      <w:szCs w:val="21"/>
                    </w:rPr>
                    <w:t>cm。</w:t>
                  </w:r>
                </w:p>
              </w:tc>
              <w:tc>
                <w:tcPr>
                  <w:tcW w:w="0" w:type="auto"/>
                  <w:vAlign w:val="center"/>
                </w:tcPr>
                <w:p>
                  <w:pPr>
                    <w:adjustRightInd w:val="0"/>
                    <w:snapToGrid w:val="0"/>
                    <w:jc w:val="center"/>
                    <w:rPr>
                      <w:bCs/>
                      <w:szCs w:val="21"/>
                    </w:rPr>
                  </w:pPr>
                  <w:r>
                    <w:rPr>
                      <w:rFonts w:hint="eastAsia"/>
                      <w:bCs/>
                      <w:szCs w:val="21"/>
                    </w:rPr>
                    <w:t>4</w:t>
                  </w:r>
                  <w:r>
                    <w:rPr>
                      <w:bCs/>
                      <w:szCs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vAlign w:val="center"/>
                </w:tcPr>
                <w:p>
                  <w:pPr>
                    <w:adjustRightInd w:val="0"/>
                    <w:snapToGrid w:val="0"/>
                    <w:jc w:val="center"/>
                    <w:rPr>
                      <w:bCs/>
                      <w:szCs w:val="21"/>
                    </w:rPr>
                  </w:pPr>
                </w:p>
              </w:tc>
              <w:tc>
                <w:tcPr>
                  <w:tcW w:w="0" w:type="auto"/>
                  <w:vMerge w:val="continue"/>
                  <w:vAlign w:val="center"/>
                </w:tcPr>
                <w:p>
                  <w:pPr>
                    <w:adjustRightInd w:val="0"/>
                    <w:snapToGrid w:val="0"/>
                    <w:jc w:val="center"/>
                    <w:rPr>
                      <w:bCs/>
                      <w:szCs w:val="21"/>
                    </w:rPr>
                  </w:pPr>
                </w:p>
              </w:tc>
              <w:tc>
                <w:tcPr>
                  <w:tcW w:w="0" w:type="auto"/>
                  <w:vAlign w:val="center"/>
                </w:tcPr>
                <w:p>
                  <w:pPr>
                    <w:adjustRightInd w:val="0"/>
                    <w:snapToGrid w:val="0"/>
                    <w:rPr>
                      <w:bCs/>
                      <w:szCs w:val="21"/>
                    </w:rPr>
                  </w:pPr>
                  <w:r>
                    <w:rPr>
                      <w:rFonts w:hint="eastAsia"/>
                      <w:bCs/>
                      <w:szCs w:val="21"/>
                    </w:rPr>
                    <w:t>初期雨水收集池1座，3</w:t>
                  </w:r>
                  <w:r>
                    <w:rPr>
                      <w:bCs/>
                      <w:szCs w:val="21"/>
                    </w:rPr>
                    <w:t>0</w:t>
                  </w:r>
                  <w:r>
                    <w:rPr>
                      <w:rFonts w:hint="eastAsia"/>
                      <w:bCs/>
                      <w:szCs w:val="21"/>
                    </w:rPr>
                    <w:t>m³。</w:t>
                  </w:r>
                </w:p>
              </w:tc>
              <w:tc>
                <w:tcPr>
                  <w:tcW w:w="0" w:type="auto"/>
                  <w:vAlign w:val="center"/>
                </w:tcPr>
                <w:p>
                  <w:pPr>
                    <w:adjustRightInd w:val="0"/>
                    <w:snapToGrid w:val="0"/>
                    <w:jc w:val="center"/>
                    <w:rPr>
                      <w:bCs/>
                      <w:szCs w:val="21"/>
                    </w:rPr>
                  </w:pPr>
                  <w:r>
                    <w:rPr>
                      <w:rFonts w:hint="eastAsia"/>
                      <w:bCs/>
                      <w:szCs w:val="21"/>
                    </w:rPr>
                    <w:t>3</w:t>
                  </w:r>
                  <w:r>
                    <w:rPr>
                      <w:bCs/>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0" w:type="auto"/>
                  <w:vMerge w:val="continue"/>
                  <w:vAlign w:val="center"/>
                </w:tcPr>
                <w:p>
                  <w:pPr>
                    <w:adjustRightInd w:val="0"/>
                    <w:snapToGrid w:val="0"/>
                    <w:jc w:val="center"/>
                    <w:rPr>
                      <w:bCs/>
                      <w:szCs w:val="21"/>
                    </w:rPr>
                  </w:pPr>
                </w:p>
              </w:tc>
              <w:tc>
                <w:tcPr>
                  <w:tcW w:w="0" w:type="auto"/>
                  <w:vAlign w:val="center"/>
                </w:tcPr>
                <w:p>
                  <w:pPr>
                    <w:adjustRightInd w:val="0"/>
                    <w:snapToGrid w:val="0"/>
                    <w:jc w:val="center"/>
                    <w:rPr>
                      <w:bCs/>
                      <w:szCs w:val="21"/>
                    </w:rPr>
                  </w:pPr>
                  <w:r>
                    <w:rPr>
                      <w:rFonts w:hint="eastAsia"/>
                      <w:bCs/>
                      <w:szCs w:val="21"/>
                    </w:rPr>
                    <w:t>洗砂废水</w:t>
                  </w:r>
                </w:p>
              </w:tc>
              <w:tc>
                <w:tcPr>
                  <w:tcW w:w="0" w:type="auto"/>
                  <w:vAlign w:val="center"/>
                </w:tcPr>
                <w:p>
                  <w:pPr>
                    <w:adjustRightInd w:val="0"/>
                    <w:snapToGrid w:val="0"/>
                    <w:rPr>
                      <w:bCs/>
                      <w:szCs w:val="21"/>
                    </w:rPr>
                  </w:pPr>
                  <w:r>
                    <w:rPr>
                      <w:rFonts w:hint="eastAsia"/>
                      <w:bCs/>
                      <w:szCs w:val="21"/>
                    </w:rPr>
                    <w:t>三级沉淀池1座，容积9</w:t>
                  </w:r>
                  <w:r>
                    <w:rPr>
                      <w:bCs/>
                      <w:szCs w:val="21"/>
                    </w:rPr>
                    <w:t>0</w:t>
                  </w:r>
                  <w:r>
                    <w:rPr>
                      <w:rFonts w:hint="eastAsia"/>
                      <w:bCs/>
                      <w:szCs w:val="21"/>
                    </w:rPr>
                    <w:t>m³。</w:t>
                  </w:r>
                </w:p>
              </w:tc>
              <w:tc>
                <w:tcPr>
                  <w:tcW w:w="0" w:type="auto"/>
                  <w:vAlign w:val="center"/>
                </w:tcPr>
                <w:p>
                  <w:pPr>
                    <w:adjustRightInd w:val="0"/>
                    <w:snapToGrid w:val="0"/>
                    <w:jc w:val="center"/>
                    <w:rPr>
                      <w:bCs/>
                      <w:szCs w:val="21"/>
                    </w:rPr>
                  </w:pPr>
                  <w:r>
                    <w:rPr>
                      <w:rFonts w:hint="eastAsia"/>
                      <w:bCs/>
                      <w:szCs w:val="21"/>
                    </w:rPr>
                    <w:t>1</w:t>
                  </w:r>
                  <w:r>
                    <w:rPr>
                      <w:bCs/>
                      <w:szCs w:val="21"/>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vAlign w:val="center"/>
                </w:tcPr>
                <w:p>
                  <w:pPr>
                    <w:adjustRightInd w:val="0"/>
                    <w:snapToGrid w:val="0"/>
                    <w:jc w:val="center"/>
                    <w:rPr>
                      <w:bCs/>
                      <w:szCs w:val="21"/>
                    </w:rPr>
                  </w:pPr>
                </w:p>
              </w:tc>
              <w:tc>
                <w:tcPr>
                  <w:tcW w:w="0" w:type="auto"/>
                  <w:vAlign w:val="center"/>
                </w:tcPr>
                <w:p>
                  <w:pPr>
                    <w:adjustRightInd w:val="0"/>
                    <w:snapToGrid w:val="0"/>
                    <w:jc w:val="center"/>
                    <w:rPr>
                      <w:bCs/>
                      <w:szCs w:val="21"/>
                    </w:rPr>
                  </w:pPr>
                  <w:r>
                    <w:rPr>
                      <w:rFonts w:hint="eastAsia"/>
                      <w:bCs/>
                      <w:szCs w:val="21"/>
                    </w:rPr>
                    <w:t>车辆冲洗废水</w:t>
                  </w:r>
                </w:p>
              </w:tc>
              <w:tc>
                <w:tcPr>
                  <w:tcW w:w="0" w:type="auto"/>
                  <w:vAlign w:val="center"/>
                </w:tcPr>
                <w:p>
                  <w:pPr>
                    <w:adjustRightInd w:val="0"/>
                    <w:snapToGrid w:val="0"/>
                    <w:rPr>
                      <w:bCs/>
                      <w:szCs w:val="21"/>
                    </w:rPr>
                  </w:pPr>
                  <w:r>
                    <w:rPr>
                      <w:rFonts w:hint="eastAsia"/>
                      <w:szCs w:val="21"/>
                    </w:rPr>
                    <w:t>车辆清洁池1座，尺寸为：长12m，宽3.4m，采用C15砼浇筑。</w:t>
                  </w:r>
                </w:p>
              </w:tc>
              <w:tc>
                <w:tcPr>
                  <w:tcW w:w="0" w:type="auto"/>
                  <w:vAlign w:val="center"/>
                </w:tcPr>
                <w:p>
                  <w:pPr>
                    <w:adjustRightInd w:val="0"/>
                    <w:snapToGrid w:val="0"/>
                    <w:jc w:val="center"/>
                    <w:rPr>
                      <w:bCs/>
                      <w:szCs w:val="21"/>
                    </w:rPr>
                  </w:pPr>
                  <w:r>
                    <w:rPr>
                      <w:rFonts w:hint="eastAsia"/>
                      <w:bCs/>
                      <w:szCs w:val="21"/>
                    </w:rPr>
                    <w:t>2</w:t>
                  </w:r>
                  <w:r>
                    <w:rPr>
                      <w:bCs/>
                      <w:szCs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vAlign w:val="center"/>
                </w:tcPr>
                <w:p>
                  <w:pPr>
                    <w:adjustRightInd w:val="0"/>
                    <w:snapToGrid w:val="0"/>
                    <w:jc w:val="center"/>
                    <w:rPr>
                      <w:bCs/>
                      <w:szCs w:val="21"/>
                    </w:rPr>
                  </w:pPr>
                </w:p>
              </w:tc>
              <w:tc>
                <w:tcPr>
                  <w:tcW w:w="0" w:type="auto"/>
                  <w:vAlign w:val="center"/>
                </w:tcPr>
                <w:p>
                  <w:pPr>
                    <w:adjustRightInd w:val="0"/>
                    <w:snapToGrid w:val="0"/>
                    <w:jc w:val="center"/>
                    <w:rPr>
                      <w:bCs/>
                      <w:szCs w:val="21"/>
                    </w:rPr>
                  </w:pPr>
                  <w:r>
                    <w:rPr>
                      <w:rFonts w:hint="eastAsia"/>
                      <w:bCs/>
                      <w:szCs w:val="21"/>
                    </w:rPr>
                    <w:t>生活污水</w:t>
                  </w:r>
                </w:p>
              </w:tc>
              <w:tc>
                <w:tcPr>
                  <w:tcW w:w="0" w:type="auto"/>
                  <w:vAlign w:val="center"/>
                </w:tcPr>
                <w:p>
                  <w:pPr>
                    <w:adjustRightInd w:val="0"/>
                    <w:snapToGrid w:val="0"/>
                    <w:rPr>
                      <w:bCs/>
                      <w:szCs w:val="21"/>
                    </w:rPr>
                  </w:pPr>
                  <w:r>
                    <w:rPr>
                      <w:rFonts w:hint="eastAsia"/>
                      <w:bCs/>
                      <w:szCs w:val="21"/>
                    </w:rPr>
                    <w:t>油水分离器1台，处理能力0</w:t>
                  </w:r>
                  <w:r>
                    <w:rPr>
                      <w:bCs/>
                      <w:szCs w:val="21"/>
                    </w:rPr>
                    <w:t>.05</w:t>
                  </w:r>
                  <w:r>
                    <w:rPr>
                      <w:rFonts w:hint="eastAsia"/>
                      <w:bCs/>
                      <w:szCs w:val="21"/>
                    </w:rPr>
                    <w:t>m³</w:t>
                  </w:r>
                  <w:r>
                    <w:rPr>
                      <w:bCs/>
                      <w:szCs w:val="21"/>
                    </w:rPr>
                    <w:t>/</w:t>
                  </w:r>
                  <w:r>
                    <w:rPr>
                      <w:rFonts w:hint="eastAsia"/>
                      <w:bCs/>
                      <w:szCs w:val="21"/>
                    </w:rPr>
                    <w:t>h；地埋式化粪池1座，容积2m³。</w:t>
                  </w:r>
                </w:p>
              </w:tc>
              <w:tc>
                <w:tcPr>
                  <w:tcW w:w="0" w:type="auto"/>
                  <w:vAlign w:val="center"/>
                </w:tcPr>
                <w:p>
                  <w:pPr>
                    <w:adjustRightInd w:val="0"/>
                    <w:snapToGrid w:val="0"/>
                    <w:jc w:val="center"/>
                    <w:rPr>
                      <w:bCs/>
                      <w:szCs w:val="21"/>
                    </w:rPr>
                  </w:pPr>
                  <w:r>
                    <w:rPr>
                      <w:rFonts w:hint="eastAsia"/>
                      <w:bCs/>
                      <w:szCs w:val="21"/>
                    </w:rPr>
                    <w:t>1</w:t>
                  </w:r>
                  <w:r>
                    <w:rPr>
                      <w:bCs/>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restart"/>
                  <w:vAlign w:val="center"/>
                </w:tcPr>
                <w:p>
                  <w:pPr>
                    <w:adjustRightInd w:val="0"/>
                    <w:snapToGrid w:val="0"/>
                    <w:jc w:val="center"/>
                    <w:rPr>
                      <w:bCs/>
                      <w:szCs w:val="21"/>
                    </w:rPr>
                  </w:pPr>
                  <w:r>
                    <w:rPr>
                      <w:rFonts w:hint="eastAsia"/>
                      <w:bCs/>
                      <w:szCs w:val="21"/>
                    </w:rPr>
                    <w:t>废气</w:t>
                  </w:r>
                </w:p>
              </w:tc>
              <w:tc>
                <w:tcPr>
                  <w:tcW w:w="0" w:type="auto"/>
                  <w:vMerge w:val="restart"/>
                  <w:vAlign w:val="center"/>
                </w:tcPr>
                <w:p>
                  <w:pPr>
                    <w:adjustRightInd w:val="0"/>
                    <w:snapToGrid w:val="0"/>
                    <w:jc w:val="center"/>
                    <w:rPr>
                      <w:bCs/>
                      <w:szCs w:val="21"/>
                    </w:rPr>
                  </w:pPr>
                  <w:r>
                    <w:rPr>
                      <w:rFonts w:hint="eastAsia"/>
                      <w:bCs/>
                      <w:szCs w:val="21"/>
                    </w:rPr>
                    <w:t>颗粒物（TSP）</w:t>
                  </w:r>
                </w:p>
              </w:tc>
              <w:tc>
                <w:tcPr>
                  <w:tcW w:w="0" w:type="auto"/>
                  <w:vAlign w:val="center"/>
                </w:tcPr>
                <w:p>
                  <w:pPr>
                    <w:adjustRightInd w:val="0"/>
                    <w:snapToGrid w:val="0"/>
                    <w:rPr>
                      <w:bCs/>
                      <w:szCs w:val="21"/>
                    </w:rPr>
                  </w:pPr>
                  <w:r>
                    <w:rPr>
                      <w:rFonts w:hint="eastAsia"/>
                      <w:szCs w:val="21"/>
                    </w:rPr>
                    <w:t>成品堆棚设置 三面封闭围挡加顶，一面敞口单层钢结构，顶部配置1套喷淋系统。</w:t>
                  </w:r>
                </w:p>
              </w:tc>
              <w:tc>
                <w:tcPr>
                  <w:tcW w:w="0" w:type="auto"/>
                  <w:vAlign w:val="center"/>
                </w:tcPr>
                <w:p>
                  <w:pPr>
                    <w:adjustRightInd w:val="0"/>
                    <w:snapToGrid w:val="0"/>
                    <w:jc w:val="center"/>
                    <w:rPr>
                      <w:bCs/>
                      <w:szCs w:val="21"/>
                    </w:rPr>
                  </w:pPr>
                  <w:r>
                    <w:rPr>
                      <w:rFonts w:hint="eastAsia"/>
                      <w:bCs/>
                      <w:szCs w:val="21"/>
                    </w:rPr>
                    <w:t>2</w:t>
                  </w:r>
                  <w:r>
                    <w:rPr>
                      <w:bCs/>
                      <w:szCs w:val="21"/>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0" w:type="auto"/>
                  <w:vMerge w:val="continue"/>
                  <w:vAlign w:val="center"/>
                </w:tcPr>
                <w:p>
                  <w:pPr>
                    <w:adjustRightInd w:val="0"/>
                    <w:snapToGrid w:val="0"/>
                    <w:jc w:val="center"/>
                    <w:rPr>
                      <w:bCs/>
                      <w:szCs w:val="21"/>
                    </w:rPr>
                  </w:pPr>
                </w:p>
              </w:tc>
              <w:tc>
                <w:tcPr>
                  <w:tcW w:w="0" w:type="auto"/>
                  <w:vMerge w:val="continue"/>
                  <w:vAlign w:val="center"/>
                </w:tcPr>
                <w:p>
                  <w:pPr>
                    <w:adjustRightInd w:val="0"/>
                    <w:snapToGrid w:val="0"/>
                    <w:jc w:val="center"/>
                    <w:rPr>
                      <w:bCs/>
                      <w:szCs w:val="21"/>
                    </w:rPr>
                  </w:pPr>
                </w:p>
              </w:tc>
              <w:tc>
                <w:tcPr>
                  <w:tcW w:w="0" w:type="auto"/>
                  <w:vAlign w:val="center"/>
                </w:tcPr>
                <w:p>
                  <w:pPr>
                    <w:adjustRightInd w:val="0"/>
                    <w:snapToGrid w:val="0"/>
                    <w:rPr>
                      <w:bCs/>
                      <w:szCs w:val="21"/>
                    </w:rPr>
                  </w:pPr>
                  <w:r>
                    <w:rPr>
                      <w:rFonts w:hint="eastAsia"/>
                      <w:szCs w:val="21"/>
                    </w:rPr>
                    <w:t>原料堆棚设置为三面封闭围挡加顶，一面敞口单层钢结构，顶部配置1套喷淋系统。</w:t>
                  </w:r>
                </w:p>
              </w:tc>
              <w:tc>
                <w:tcPr>
                  <w:tcW w:w="0" w:type="auto"/>
                  <w:vAlign w:val="center"/>
                </w:tcPr>
                <w:p>
                  <w:pPr>
                    <w:adjustRightInd w:val="0"/>
                    <w:snapToGrid w:val="0"/>
                    <w:jc w:val="center"/>
                    <w:rPr>
                      <w:bCs/>
                      <w:szCs w:val="21"/>
                    </w:rPr>
                  </w:pPr>
                  <w:r>
                    <w:rPr>
                      <w:rFonts w:hint="eastAsia"/>
                      <w:bCs/>
                      <w:szCs w:val="21"/>
                    </w:rPr>
                    <w:t>1</w:t>
                  </w:r>
                  <w:r>
                    <w:rPr>
                      <w:bCs/>
                      <w:szCs w:val="21"/>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vAlign w:val="center"/>
                </w:tcPr>
                <w:p>
                  <w:pPr>
                    <w:adjustRightInd w:val="0"/>
                    <w:snapToGrid w:val="0"/>
                    <w:jc w:val="center"/>
                    <w:rPr>
                      <w:bCs/>
                      <w:szCs w:val="21"/>
                    </w:rPr>
                  </w:pPr>
                </w:p>
              </w:tc>
              <w:tc>
                <w:tcPr>
                  <w:tcW w:w="0" w:type="auto"/>
                  <w:vMerge w:val="continue"/>
                  <w:vAlign w:val="center"/>
                </w:tcPr>
                <w:p>
                  <w:pPr>
                    <w:adjustRightInd w:val="0"/>
                    <w:snapToGrid w:val="0"/>
                    <w:jc w:val="center"/>
                    <w:rPr>
                      <w:bCs/>
                      <w:szCs w:val="21"/>
                    </w:rPr>
                  </w:pPr>
                </w:p>
              </w:tc>
              <w:tc>
                <w:tcPr>
                  <w:tcW w:w="0" w:type="auto"/>
                  <w:vAlign w:val="center"/>
                </w:tcPr>
                <w:p>
                  <w:pPr>
                    <w:adjustRightInd w:val="0"/>
                    <w:snapToGrid w:val="0"/>
                    <w:rPr>
                      <w:bCs/>
                      <w:szCs w:val="21"/>
                    </w:rPr>
                  </w:pPr>
                  <w:r>
                    <w:rPr>
                      <w:rFonts w:hint="eastAsia"/>
                      <w:szCs w:val="21"/>
                    </w:rPr>
                    <w:t>破碎站、振动筛密闭处置，配置布袋除尘器1台，风机风量3</w:t>
                  </w:r>
                  <w:r>
                    <w:rPr>
                      <w:szCs w:val="21"/>
                    </w:rPr>
                    <w:t>000</w:t>
                  </w:r>
                  <w:r>
                    <w:rPr>
                      <w:rFonts w:hint="eastAsia"/>
                      <w:szCs w:val="21"/>
                    </w:rPr>
                    <w:t>m³</w:t>
                  </w:r>
                  <w:r>
                    <w:rPr>
                      <w:szCs w:val="21"/>
                    </w:rPr>
                    <w:t>/</w:t>
                  </w:r>
                  <w:r>
                    <w:rPr>
                      <w:rFonts w:hint="eastAsia"/>
                      <w:szCs w:val="21"/>
                    </w:rPr>
                    <w:t>h，排气筒高度1</w:t>
                  </w:r>
                  <w:r>
                    <w:rPr>
                      <w:szCs w:val="21"/>
                    </w:rPr>
                    <w:t>5</w:t>
                  </w:r>
                  <w:r>
                    <w:rPr>
                      <w:rFonts w:hint="eastAsia"/>
                      <w:szCs w:val="21"/>
                    </w:rPr>
                    <w:t>m。</w:t>
                  </w:r>
                </w:p>
              </w:tc>
              <w:tc>
                <w:tcPr>
                  <w:tcW w:w="0" w:type="auto"/>
                  <w:vAlign w:val="center"/>
                </w:tcPr>
                <w:p>
                  <w:pPr>
                    <w:adjustRightInd w:val="0"/>
                    <w:snapToGrid w:val="0"/>
                    <w:jc w:val="center"/>
                    <w:rPr>
                      <w:bCs/>
                      <w:szCs w:val="21"/>
                    </w:rPr>
                  </w:pPr>
                  <w:r>
                    <w:rPr>
                      <w:rFonts w:hint="eastAsia"/>
                      <w:bCs/>
                      <w:szCs w:val="21"/>
                    </w:rPr>
                    <w:t>2</w:t>
                  </w:r>
                  <w:r>
                    <w:rPr>
                      <w:bCs/>
                      <w:szCs w:val="21"/>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vAlign w:val="center"/>
                </w:tcPr>
                <w:p>
                  <w:pPr>
                    <w:adjustRightInd w:val="0"/>
                    <w:snapToGrid w:val="0"/>
                    <w:jc w:val="center"/>
                    <w:rPr>
                      <w:bCs/>
                      <w:szCs w:val="21"/>
                    </w:rPr>
                  </w:pPr>
                </w:p>
              </w:tc>
              <w:tc>
                <w:tcPr>
                  <w:tcW w:w="0" w:type="auto"/>
                  <w:vMerge w:val="continue"/>
                  <w:vAlign w:val="center"/>
                </w:tcPr>
                <w:p>
                  <w:pPr>
                    <w:adjustRightInd w:val="0"/>
                    <w:snapToGrid w:val="0"/>
                    <w:jc w:val="center"/>
                    <w:rPr>
                      <w:bCs/>
                      <w:szCs w:val="21"/>
                    </w:rPr>
                  </w:pPr>
                </w:p>
              </w:tc>
              <w:tc>
                <w:tcPr>
                  <w:tcW w:w="0" w:type="auto"/>
                  <w:vAlign w:val="center"/>
                </w:tcPr>
                <w:p>
                  <w:pPr>
                    <w:adjustRightInd w:val="0"/>
                    <w:snapToGrid w:val="0"/>
                    <w:rPr>
                      <w:bCs/>
                      <w:szCs w:val="21"/>
                    </w:rPr>
                  </w:pPr>
                  <w:r>
                    <w:rPr>
                      <w:rFonts w:hint="eastAsia"/>
                      <w:szCs w:val="21"/>
                    </w:rPr>
                    <w:t>厂区运输道路及地面铺摊碎石铺垫，配置1台移动式雾炮机晴天对厂区进行雾化降尘。</w:t>
                  </w:r>
                </w:p>
              </w:tc>
              <w:tc>
                <w:tcPr>
                  <w:tcW w:w="0" w:type="auto"/>
                  <w:vAlign w:val="center"/>
                </w:tcPr>
                <w:p>
                  <w:pPr>
                    <w:adjustRightInd w:val="0"/>
                    <w:snapToGrid w:val="0"/>
                    <w:jc w:val="center"/>
                    <w:rPr>
                      <w:bCs/>
                      <w:szCs w:val="21"/>
                    </w:rPr>
                  </w:pPr>
                  <w:r>
                    <w:rPr>
                      <w:rFonts w:hint="eastAsia"/>
                      <w:bCs/>
                      <w:szCs w:val="21"/>
                    </w:rPr>
                    <w:t>3</w:t>
                  </w:r>
                  <w:r>
                    <w:rPr>
                      <w:bCs/>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vAlign w:val="center"/>
                </w:tcPr>
                <w:p>
                  <w:pPr>
                    <w:adjustRightInd w:val="0"/>
                    <w:snapToGrid w:val="0"/>
                    <w:jc w:val="center"/>
                    <w:rPr>
                      <w:bCs/>
                      <w:szCs w:val="21"/>
                    </w:rPr>
                  </w:pPr>
                </w:p>
              </w:tc>
              <w:tc>
                <w:tcPr>
                  <w:tcW w:w="0" w:type="auto"/>
                  <w:vAlign w:val="center"/>
                </w:tcPr>
                <w:p>
                  <w:pPr>
                    <w:adjustRightInd w:val="0"/>
                    <w:snapToGrid w:val="0"/>
                    <w:jc w:val="center"/>
                    <w:rPr>
                      <w:bCs/>
                      <w:szCs w:val="21"/>
                    </w:rPr>
                  </w:pPr>
                  <w:r>
                    <w:rPr>
                      <w:rFonts w:hint="eastAsia"/>
                      <w:bCs/>
                      <w:szCs w:val="21"/>
                    </w:rPr>
                    <w:t>油烟</w:t>
                  </w:r>
                </w:p>
              </w:tc>
              <w:tc>
                <w:tcPr>
                  <w:tcW w:w="0" w:type="auto"/>
                  <w:vAlign w:val="center"/>
                </w:tcPr>
                <w:p>
                  <w:pPr>
                    <w:adjustRightInd w:val="0"/>
                    <w:snapToGrid w:val="0"/>
                    <w:rPr>
                      <w:szCs w:val="21"/>
                    </w:rPr>
                  </w:pPr>
                  <w:r>
                    <w:rPr>
                      <w:rFonts w:hint="eastAsia"/>
                      <w:szCs w:val="21"/>
                    </w:rPr>
                    <w:t>厨房配置抽油烟机1台。</w:t>
                  </w:r>
                </w:p>
              </w:tc>
              <w:tc>
                <w:tcPr>
                  <w:tcW w:w="0" w:type="auto"/>
                  <w:vAlign w:val="center"/>
                </w:tcPr>
                <w:p>
                  <w:pPr>
                    <w:adjustRightInd w:val="0"/>
                    <w:snapToGrid w:val="0"/>
                    <w:jc w:val="center"/>
                    <w:rPr>
                      <w:bCs/>
                      <w:szCs w:val="21"/>
                    </w:rPr>
                  </w:pPr>
                  <w:r>
                    <w:rPr>
                      <w:rFonts w:hint="eastAsia"/>
                      <w:bCs/>
                      <w:szCs w:val="21"/>
                    </w:rPr>
                    <w:t>0</w:t>
                  </w:r>
                  <w:r>
                    <w:rPr>
                      <w:bCs/>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0" w:type="auto"/>
                  <w:vAlign w:val="center"/>
                </w:tcPr>
                <w:p>
                  <w:pPr>
                    <w:adjustRightInd w:val="0"/>
                    <w:snapToGrid w:val="0"/>
                    <w:jc w:val="center"/>
                    <w:rPr>
                      <w:bCs/>
                      <w:szCs w:val="21"/>
                    </w:rPr>
                  </w:pPr>
                  <w:r>
                    <w:rPr>
                      <w:rFonts w:hint="eastAsia"/>
                      <w:bCs/>
                      <w:szCs w:val="21"/>
                    </w:rPr>
                    <w:t>噪声</w:t>
                  </w:r>
                </w:p>
              </w:tc>
              <w:tc>
                <w:tcPr>
                  <w:tcW w:w="0" w:type="auto"/>
                  <w:vAlign w:val="center"/>
                </w:tcPr>
                <w:p>
                  <w:pPr>
                    <w:adjustRightInd w:val="0"/>
                    <w:snapToGrid w:val="0"/>
                    <w:jc w:val="center"/>
                    <w:rPr>
                      <w:bCs/>
                      <w:szCs w:val="21"/>
                    </w:rPr>
                  </w:pPr>
                  <w:r>
                    <w:rPr>
                      <w:rFonts w:hint="eastAsia"/>
                      <w:bCs/>
                      <w:szCs w:val="21"/>
                    </w:rPr>
                    <w:t>设备噪声</w:t>
                  </w:r>
                </w:p>
              </w:tc>
              <w:tc>
                <w:tcPr>
                  <w:tcW w:w="0" w:type="auto"/>
                  <w:vAlign w:val="center"/>
                </w:tcPr>
                <w:p>
                  <w:pPr>
                    <w:adjustRightInd w:val="0"/>
                    <w:snapToGrid w:val="0"/>
                    <w:rPr>
                      <w:szCs w:val="21"/>
                    </w:rPr>
                  </w:pPr>
                  <w:r>
                    <w:rPr>
                      <w:rFonts w:hint="eastAsia"/>
                      <w:szCs w:val="21"/>
                    </w:rPr>
                    <w:t>设备四周围挡、加强绿化种植、基座采用混凝土浇筑。</w:t>
                  </w:r>
                </w:p>
              </w:tc>
              <w:tc>
                <w:tcPr>
                  <w:tcW w:w="0" w:type="auto"/>
                  <w:vAlign w:val="center"/>
                </w:tcPr>
                <w:p>
                  <w:pPr>
                    <w:adjustRightInd w:val="0"/>
                    <w:snapToGrid w:val="0"/>
                    <w:jc w:val="center"/>
                    <w:rPr>
                      <w:bCs/>
                      <w:szCs w:val="21"/>
                    </w:rPr>
                  </w:pPr>
                  <w:r>
                    <w:rPr>
                      <w:rFonts w:hint="eastAsia"/>
                      <w:bCs/>
                      <w:szCs w:val="21"/>
                    </w:rPr>
                    <w:t>5</w:t>
                  </w:r>
                  <w:r>
                    <w:rPr>
                      <w:bCs/>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restart"/>
                  <w:vAlign w:val="center"/>
                </w:tcPr>
                <w:p>
                  <w:pPr>
                    <w:adjustRightInd w:val="0"/>
                    <w:snapToGrid w:val="0"/>
                    <w:jc w:val="center"/>
                    <w:rPr>
                      <w:bCs/>
                      <w:szCs w:val="21"/>
                    </w:rPr>
                  </w:pPr>
                  <w:r>
                    <w:rPr>
                      <w:rFonts w:hint="eastAsia"/>
                      <w:bCs/>
                      <w:szCs w:val="21"/>
                    </w:rPr>
                    <w:t>固体废物</w:t>
                  </w:r>
                </w:p>
              </w:tc>
              <w:tc>
                <w:tcPr>
                  <w:tcW w:w="0" w:type="auto"/>
                  <w:vAlign w:val="center"/>
                </w:tcPr>
                <w:p>
                  <w:pPr>
                    <w:adjustRightInd w:val="0"/>
                    <w:snapToGrid w:val="0"/>
                    <w:jc w:val="center"/>
                    <w:rPr>
                      <w:bCs/>
                      <w:szCs w:val="21"/>
                    </w:rPr>
                  </w:pPr>
                  <w:r>
                    <w:rPr>
                      <w:rFonts w:hint="eastAsia"/>
                      <w:szCs w:val="21"/>
                    </w:rPr>
                    <w:t>危废暂存间</w:t>
                  </w:r>
                </w:p>
              </w:tc>
              <w:tc>
                <w:tcPr>
                  <w:tcW w:w="0" w:type="auto"/>
                  <w:vAlign w:val="center"/>
                </w:tcPr>
                <w:p>
                  <w:pPr>
                    <w:adjustRightInd w:val="0"/>
                    <w:snapToGrid w:val="0"/>
                    <w:rPr>
                      <w:szCs w:val="21"/>
                    </w:rPr>
                  </w:pPr>
                  <w:r>
                    <w:rPr>
                      <w:rFonts w:hint="eastAsia"/>
                      <w:szCs w:val="21"/>
                    </w:rPr>
                    <w:t>建设5㎡危废暂存间1座，完善防渗、围堰措施。</w:t>
                  </w:r>
                </w:p>
              </w:tc>
              <w:tc>
                <w:tcPr>
                  <w:tcW w:w="0" w:type="auto"/>
                  <w:vAlign w:val="center"/>
                </w:tcPr>
                <w:p>
                  <w:pPr>
                    <w:adjustRightInd w:val="0"/>
                    <w:snapToGrid w:val="0"/>
                    <w:jc w:val="center"/>
                    <w:rPr>
                      <w:bCs/>
                      <w:szCs w:val="21"/>
                    </w:rPr>
                  </w:pPr>
                  <w:r>
                    <w:rPr>
                      <w:rFonts w:hint="eastAsia"/>
                      <w:bCs/>
                      <w:szCs w:val="21"/>
                    </w:rPr>
                    <w:t>3</w:t>
                  </w:r>
                  <w:r>
                    <w:rPr>
                      <w:bCs/>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vAlign w:val="center"/>
                </w:tcPr>
                <w:p>
                  <w:pPr>
                    <w:adjustRightInd w:val="0"/>
                    <w:snapToGrid w:val="0"/>
                    <w:jc w:val="center"/>
                    <w:rPr>
                      <w:bCs/>
                      <w:szCs w:val="21"/>
                    </w:rPr>
                  </w:pPr>
                </w:p>
              </w:tc>
              <w:tc>
                <w:tcPr>
                  <w:tcW w:w="0" w:type="auto"/>
                  <w:vAlign w:val="center"/>
                </w:tcPr>
                <w:p>
                  <w:pPr>
                    <w:adjustRightInd w:val="0"/>
                    <w:snapToGrid w:val="0"/>
                    <w:jc w:val="center"/>
                    <w:rPr>
                      <w:bCs/>
                      <w:szCs w:val="21"/>
                    </w:rPr>
                  </w:pPr>
                  <w:r>
                    <w:rPr>
                      <w:rFonts w:hint="eastAsia"/>
                      <w:bCs/>
                      <w:szCs w:val="21"/>
                    </w:rPr>
                    <w:t>污泥干化暂存区</w:t>
                  </w:r>
                </w:p>
              </w:tc>
              <w:tc>
                <w:tcPr>
                  <w:tcW w:w="0" w:type="auto"/>
                  <w:vAlign w:val="center"/>
                </w:tcPr>
                <w:p>
                  <w:pPr>
                    <w:adjustRightInd w:val="0"/>
                    <w:snapToGrid w:val="0"/>
                    <w:rPr>
                      <w:szCs w:val="21"/>
                    </w:rPr>
                  </w:pPr>
                  <w:r>
                    <w:rPr>
                      <w:rFonts w:hint="eastAsia"/>
                      <w:szCs w:val="21"/>
                    </w:rPr>
                    <w:t>设置</w:t>
                  </w:r>
                  <w:r>
                    <w:rPr>
                      <w:szCs w:val="21"/>
                    </w:rPr>
                    <w:t>20</w:t>
                  </w:r>
                  <w:r>
                    <w:rPr>
                      <w:rFonts w:hint="eastAsia"/>
                      <w:szCs w:val="21"/>
                    </w:rPr>
                    <w:t>㎡淀池污泥干化场1座，三面砖砌围挡，顶部加盖，四周设置接排水沟。</w:t>
                  </w:r>
                </w:p>
              </w:tc>
              <w:tc>
                <w:tcPr>
                  <w:tcW w:w="0" w:type="auto"/>
                  <w:vAlign w:val="center"/>
                </w:tcPr>
                <w:p>
                  <w:pPr>
                    <w:adjustRightInd w:val="0"/>
                    <w:snapToGrid w:val="0"/>
                    <w:jc w:val="center"/>
                    <w:rPr>
                      <w:bCs/>
                      <w:szCs w:val="21"/>
                    </w:rPr>
                  </w:pPr>
                  <w:r>
                    <w:rPr>
                      <w:rFonts w:hint="eastAsia"/>
                      <w:bCs/>
                      <w:szCs w:val="21"/>
                    </w:rPr>
                    <w:t>5</w:t>
                  </w:r>
                  <w:r>
                    <w:rPr>
                      <w:bCs/>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vAlign w:val="center"/>
                </w:tcPr>
                <w:p>
                  <w:pPr>
                    <w:adjustRightInd w:val="0"/>
                    <w:snapToGrid w:val="0"/>
                    <w:jc w:val="center"/>
                    <w:rPr>
                      <w:bCs/>
                      <w:szCs w:val="21"/>
                    </w:rPr>
                  </w:pPr>
                </w:p>
              </w:tc>
              <w:tc>
                <w:tcPr>
                  <w:tcW w:w="0" w:type="auto"/>
                  <w:vAlign w:val="center"/>
                </w:tcPr>
                <w:p>
                  <w:pPr>
                    <w:adjustRightInd w:val="0"/>
                    <w:snapToGrid w:val="0"/>
                    <w:jc w:val="center"/>
                    <w:rPr>
                      <w:bCs/>
                      <w:szCs w:val="21"/>
                    </w:rPr>
                  </w:pPr>
                  <w:r>
                    <w:rPr>
                      <w:rFonts w:hint="eastAsia"/>
                      <w:bCs/>
                      <w:szCs w:val="21"/>
                    </w:rPr>
                    <w:t>生活垃圾</w:t>
                  </w:r>
                </w:p>
              </w:tc>
              <w:tc>
                <w:tcPr>
                  <w:tcW w:w="0" w:type="auto"/>
                  <w:vAlign w:val="center"/>
                </w:tcPr>
                <w:p>
                  <w:pPr>
                    <w:adjustRightInd w:val="0"/>
                    <w:snapToGrid w:val="0"/>
                    <w:rPr>
                      <w:szCs w:val="21"/>
                    </w:rPr>
                  </w:pPr>
                  <w:r>
                    <w:rPr>
                      <w:rFonts w:hint="eastAsia"/>
                      <w:szCs w:val="21"/>
                    </w:rPr>
                    <w:t>生活区设置带盖生活垃圾桶2只。</w:t>
                  </w:r>
                </w:p>
              </w:tc>
              <w:tc>
                <w:tcPr>
                  <w:tcW w:w="0" w:type="auto"/>
                  <w:vAlign w:val="center"/>
                </w:tcPr>
                <w:p>
                  <w:pPr>
                    <w:adjustRightInd w:val="0"/>
                    <w:snapToGrid w:val="0"/>
                    <w:jc w:val="center"/>
                    <w:rPr>
                      <w:bCs/>
                      <w:szCs w:val="21"/>
                    </w:rPr>
                  </w:pPr>
                  <w:r>
                    <w:rPr>
                      <w:rFonts w:hint="eastAsia"/>
                      <w:bCs/>
                      <w:szCs w:val="21"/>
                    </w:rPr>
                    <w:t>0</w:t>
                  </w:r>
                  <w:r>
                    <w:rPr>
                      <w:bCs/>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0" w:type="auto"/>
                  <w:gridSpan w:val="3"/>
                  <w:vAlign w:val="center"/>
                </w:tcPr>
                <w:p>
                  <w:pPr>
                    <w:adjustRightInd w:val="0"/>
                    <w:snapToGrid w:val="0"/>
                    <w:jc w:val="center"/>
                    <w:rPr>
                      <w:szCs w:val="21"/>
                    </w:rPr>
                  </w:pPr>
                  <w:r>
                    <w:rPr>
                      <w:rFonts w:hint="eastAsia"/>
                      <w:szCs w:val="21"/>
                    </w:rPr>
                    <w:t>合计</w:t>
                  </w:r>
                </w:p>
              </w:tc>
              <w:tc>
                <w:tcPr>
                  <w:tcW w:w="0" w:type="auto"/>
                  <w:vAlign w:val="center"/>
                </w:tcPr>
                <w:p>
                  <w:pPr>
                    <w:adjustRightInd w:val="0"/>
                    <w:snapToGrid w:val="0"/>
                    <w:jc w:val="center"/>
                    <w:rPr>
                      <w:bCs/>
                      <w:szCs w:val="21"/>
                    </w:rPr>
                  </w:pPr>
                  <w:r>
                    <w:rPr>
                      <w:bCs/>
                      <w:szCs w:val="21"/>
                    </w:rPr>
                    <w:t>87.2</w:t>
                  </w:r>
                </w:p>
              </w:tc>
            </w:tr>
          </w:tbl>
          <w:p>
            <w:pPr>
              <w:spacing w:line="360" w:lineRule="auto"/>
              <w:rPr>
                <w:rFonts w:ascii="黑体" w:hAnsi="黑体" w:eastAsia="黑体"/>
                <w:b/>
                <w:bCs/>
                <w:kern w:val="0"/>
                <w:sz w:val="24"/>
              </w:rPr>
            </w:pPr>
            <w:r>
              <w:rPr>
                <w:rFonts w:hint="eastAsia" w:ascii="黑体" w:hAnsi="黑体" w:eastAsia="黑体"/>
                <w:b/>
                <w:bCs/>
                <w:kern w:val="0"/>
                <w:sz w:val="24"/>
              </w:rPr>
              <w:t>（二）排污口规范化设置</w:t>
            </w:r>
          </w:p>
          <w:p>
            <w:pPr>
              <w:autoSpaceDE w:val="0"/>
              <w:adjustRightInd w:val="0"/>
              <w:snapToGrid w:val="0"/>
              <w:spacing w:line="360" w:lineRule="auto"/>
              <w:rPr>
                <w:b/>
                <w:bCs/>
                <w:sz w:val="24"/>
              </w:rPr>
            </w:pPr>
            <w:r>
              <w:rPr>
                <w:rFonts w:hint="eastAsia"/>
                <w:b/>
                <w:bCs/>
                <w:sz w:val="24"/>
              </w:rPr>
              <w:t>1、</w:t>
            </w:r>
            <w:r>
              <w:rPr>
                <w:b/>
                <w:bCs/>
                <w:sz w:val="24"/>
              </w:rPr>
              <w:t>排污口规范化管理基本原则</w:t>
            </w:r>
          </w:p>
          <w:p>
            <w:pPr>
              <w:autoSpaceDE w:val="0"/>
              <w:adjustRightInd w:val="0"/>
              <w:snapToGrid w:val="0"/>
              <w:spacing w:line="360" w:lineRule="auto"/>
              <w:ind w:firstLine="480" w:firstLineChars="200"/>
              <w:rPr>
                <w:sz w:val="24"/>
              </w:rPr>
            </w:pPr>
            <w:r>
              <w:rPr>
                <w:rFonts w:hint="eastAsia"/>
                <w:sz w:val="24"/>
              </w:rPr>
              <w:t>（1）</w:t>
            </w:r>
            <w:r>
              <w:rPr>
                <w:sz w:val="24"/>
              </w:rPr>
              <w:t>向环境排放污染物的排污口必须规范化；</w:t>
            </w:r>
          </w:p>
          <w:p>
            <w:pPr>
              <w:autoSpaceDE w:val="0"/>
              <w:adjustRightInd w:val="0"/>
              <w:snapToGrid w:val="0"/>
              <w:spacing w:line="360" w:lineRule="auto"/>
              <w:ind w:firstLine="480" w:firstLineChars="200"/>
              <w:rPr>
                <w:sz w:val="24"/>
              </w:rPr>
            </w:pPr>
            <w:r>
              <w:rPr>
                <w:rFonts w:hint="eastAsia"/>
                <w:sz w:val="24"/>
              </w:rPr>
              <w:t>（2）</w:t>
            </w:r>
            <w:r>
              <w:rPr>
                <w:sz w:val="24"/>
              </w:rPr>
              <w:t>根据本项目的特点，应把列入总量控制指标的排污口作为管理的重点</w:t>
            </w:r>
            <w:r>
              <w:rPr>
                <w:rFonts w:hint="eastAsia"/>
                <w:sz w:val="24"/>
              </w:rPr>
              <w:t>；</w:t>
            </w:r>
          </w:p>
          <w:p>
            <w:pPr>
              <w:autoSpaceDE w:val="0"/>
              <w:adjustRightInd w:val="0"/>
              <w:snapToGrid w:val="0"/>
              <w:spacing w:line="360" w:lineRule="auto"/>
              <w:ind w:firstLine="480" w:firstLineChars="200"/>
              <w:rPr>
                <w:sz w:val="24"/>
              </w:rPr>
            </w:pPr>
            <w:r>
              <w:rPr>
                <w:rFonts w:hint="eastAsia"/>
                <w:sz w:val="24"/>
              </w:rPr>
              <w:t>（3）</w:t>
            </w:r>
            <w:r>
              <w:rPr>
                <w:sz w:val="24"/>
              </w:rPr>
              <w:t>排污口应便于采样与计量检测，便于日常现场监督检查。</w:t>
            </w:r>
          </w:p>
          <w:p>
            <w:pPr>
              <w:autoSpaceDE w:val="0"/>
              <w:adjustRightInd w:val="0"/>
              <w:snapToGrid w:val="0"/>
              <w:spacing w:line="360" w:lineRule="auto"/>
              <w:rPr>
                <w:b/>
                <w:bCs/>
                <w:sz w:val="24"/>
              </w:rPr>
            </w:pPr>
            <w:r>
              <w:rPr>
                <w:rFonts w:hint="eastAsia"/>
                <w:b/>
                <w:bCs/>
                <w:sz w:val="24"/>
              </w:rPr>
              <w:t>2、</w:t>
            </w:r>
            <w:r>
              <w:rPr>
                <w:b/>
                <w:bCs/>
                <w:sz w:val="24"/>
              </w:rPr>
              <w:t>排污口设置的技术要求</w:t>
            </w:r>
          </w:p>
          <w:p>
            <w:pPr>
              <w:autoSpaceDE w:val="0"/>
              <w:adjustRightInd w:val="0"/>
              <w:snapToGrid w:val="0"/>
              <w:spacing w:line="360" w:lineRule="auto"/>
              <w:rPr>
                <w:b/>
                <w:sz w:val="24"/>
              </w:rPr>
            </w:pPr>
            <w:r>
              <w:rPr>
                <w:rFonts w:hint="eastAsia"/>
                <w:b/>
                <w:sz w:val="24"/>
              </w:rPr>
              <w:t>（1）</w:t>
            </w:r>
            <w:r>
              <w:rPr>
                <w:b/>
                <w:sz w:val="24"/>
              </w:rPr>
              <w:t>排污口位置</w:t>
            </w:r>
          </w:p>
          <w:p>
            <w:pPr>
              <w:autoSpaceDE w:val="0"/>
              <w:adjustRightInd w:val="0"/>
              <w:snapToGrid w:val="0"/>
              <w:spacing w:line="360" w:lineRule="auto"/>
              <w:ind w:firstLine="480" w:firstLineChars="200"/>
              <w:rPr>
                <w:sz w:val="24"/>
              </w:rPr>
            </w:pPr>
            <w:r>
              <w:rPr>
                <w:sz w:val="24"/>
              </w:rPr>
              <w:t>排污口的位置必须合理确定，并按《排污口规范化整治技术要求（试行）》环监〔1996〕470号文件要求进行规范化管理。</w:t>
            </w:r>
          </w:p>
          <w:p>
            <w:pPr>
              <w:autoSpaceDE w:val="0"/>
              <w:adjustRightInd w:val="0"/>
              <w:snapToGrid w:val="0"/>
              <w:spacing w:line="360" w:lineRule="auto"/>
              <w:rPr>
                <w:b/>
                <w:sz w:val="24"/>
              </w:rPr>
            </w:pPr>
            <w:r>
              <w:rPr>
                <w:rFonts w:hint="eastAsia"/>
                <w:b/>
                <w:sz w:val="24"/>
              </w:rPr>
              <w:t>（2）</w:t>
            </w:r>
            <w:r>
              <w:rPr>
                <w:b/>
                <w:sz w:val="24"/>
              </w:rPr>
              <w:t>排污口监控</w:t>
            </w:r>
          </w:p>
          <w:p>
            <w:pPr>
              <w:autoSpaceDE w:val="0"/>
              <w:adjustRightInd w:val="0"/>
              <w:snapToGrid w:val="0"/>
              <w:spacing w:line="360" w:lineRule="auto"/>
              <w:ind w:firstLine="480" w:firstLineChars="200"/>
              <w:rPr>
                <w:sz w:val="24"/>
              </w:rPr>
            </w:pPr>
            <w:r>
              <w:rPr>
                <w:sz w:val="24"/>
              </w:rPr>
              <w:t>对主要废气排放口（</w:t>
            </w:r>
            <w:r>
              <w:rPr>
                <w:rFonts w:hint="eastAsia"/>
                <w:sz w:val="24"/>
              </w:rPr>
              <w:t>烟囱、排气筒</w:t>
            </w:r>
            <w:r>
              <w:rPr>
                <w:sz w:val="24"/>
              </w:rPr>
              <w:t>）、废水排放口实行定期监控，以便及时掌握污染源动态，预防污染事故的发生，同时所有排气筒应设有观测、取样、维修通道，采样孔和采样平台、楼梯等设置，设置应符合《污染源监测技术规范》和《固定源废气监测技术规范》要求。</w:t>
            </w:r>
          </w:p>
          <w:p>
            <w:pPr>
              <w:autoSpaceDE w:val="0"/>
              <w:adjustRightInd w:val="0"/>
              <w:snapToGrid w:val="0"/>
              <w:spacing w:line="360" w:lineRule="auto"/>
              <w:rPr>
                <w:b/>
                <w:sz w:val="24"/>
                <w:highlight w:val="yellow"/>
              </w:rPr>
            </w:pPr>
            <w:r>
              <w:rPr>
                <w:b/>
                <w:sz w:val="24"/>
              </w:rPr>
              <w:t>（3）排污口立标</w:t>
            </w:r>
          </w:p>
          <w:p>
            <w:pPr>
              <w:autoSpaceDE w:val="0"/>
              <w:adjustRightInd w:val="0"/>
              <w:snapToGrid w:val="0"/>
              <w:spacing w:line="360" w:lineRule="auto"/>
              <w:ind w:firstLine="480" w:firstLineChars="200"/>
              <w:rPr>
                <w:sz w:val="24"/>
              </w:rPr>
            </w:pPr>
            <w:r>
              <w:rPr>
                <w:sz w:val="24"/>
              </w:rPr>
              <w:t>建设单位在严格进行环境管理的同时还应遵照国家对排污口规范的要求，在场区“三废”及噪声排放点设置明显标志，标志的设置应执行《环境保护图形标志排放口（源）》(GB15562.1-1995)及《环境保护图形固体废物贮存</w:t>
            </w:r>
            <w:r>
              <w:rPr>
                <w:rFonts w:hint="eastAsia"/>
                <w:sz w:val="24"/>
              </w:rPr>
              <w:t>（</w:t>
            </w:r>
            <w:r>
              <w:rPr>
                <w:sz w:val="24"/>
              </w:rPr>
              <w:t>处置</w:t>
            </w:r>
            <w:r>
              <w:rPr>
                <w:rFonts w:hint="eastAsia"/>
                <w:sz w:val="24"/>
              </w:rPr>
              <w:t>）</w:t>
            </w:r>
            <w:r>
              <w:rPr>
                <w:sz w:val="24"/>
              </w:rPr>
              <w:t>场》(GB15562.2-1995)中有关规定。排放口图形标志见下表。</w:t>
            </w:r>
          </w:p>
          <w:p>
            <w:pPr>
              <w:snapToGrid w:val="0"/>
              <w:jc w:val="center"/>
              <w:rPr>
                <w:b/>
                <w:bCs/>
                <w:sz w:val="24"/>
              </w:rPr>
            </w:pPr>
            <w:r>
              <w:rPr>
                <w:b/>
                <w:bCs/>
                <w:sz w:val="24"/>
              </w:rPr>
              <w:t>表5.2-1  厂区排污口图形标志一览表</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5"/>
              <w:gridCol w:w="1595"/>
              <w:gridCol w:w="1595"/>
              <w:gridCol w:w="1629"/>
              <w:gridCol w:w="1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52" w:type="dxa"/>
                  <w:tcBorders>
                    <w:top w:val="single" w:color="auto" w:sz="4" w:space="0"/>
                    <w:left w:val="single" w:color="auto" w:sz="4" w:space="0"/>
                    <w:bottom w:val="single" w:color="auto" w:sz="4" w:space="0"/>
                    <w:right w:val="single" w:color="auto" w:sz="4" w:space="0"/>
                  </w:tcBorders>
                  <w:vAlign w:val="center"/>
                </w:tcPr>
                <w:p>
                  <w:pPr>
                    <w:jc w:val="center"/>
                    <w:rPr>
                      <w:b/>
                      <w:bCs/>
                    </w:rPr>
                  </w:pPr>
                  <w:r>
                    <w:rPr>
                      <w:rFonts w:ascii="宋体" w:hAnsi="宋体"/>
                      <w:b/>
                      <w:bCs/>
                    </w:rPr>
                    <w:t>排放口</w:t>
                  </w:r>
                </w:p>
              </w:tc>
              <w:tc>
                <w:tcPr>
                  <w:tcW w:w="1474" w:type="dxa"/>
                  <w:tcBorders>
                    <w:top w:val="single" w:color="auto" w:sz="4" w:space="0"/>
                    <w:left w:val="single" w:color="auto" w:sz="4" w:space="0"/>
                    <w:bottom w:val="single" w:color="auto" w:sz="4" w:space="0"/>
                    <w:right w:val="single" w:color="auto" w:sz="4" w:space="0"/>
                  </w:tcBorders>
                  <w:vAlign w:val="center"/>
                </w:tcPr>
                <w:p>
                  <w:pPr>
                    <w:jc w:val="center"/>
                    <w:rPr>
                      <w:b/>
                      <w:bCs/>
                    </w:rPr>
                  </w:pPr>
                  <w:r>
                    <w:rPr>
                      <w:rFonts w:ascii="宋体" w:hAnsi="宋体"/>
                      <w:b/>
                      <w:bCs/>
                    </w:rPr>
                    <w:t>废气排</w:t>
                  </w:r>
                  <w:r>
                    <w:rPr>
                      <w:rFonts w:hint="eastAsia" w:ascii="宋体" w:hAnsi="宋体"/>
                      <w:b/>
                      <w:bCs/>
                    </w:rPr>
                    <w:t>放</w:t>
                  </w:r>
                  <w:r>
                    <w:rPr>
                      <w:rFonts w:ascii="宋体" w:hAnsi="宋体"/>
                      <w:b/>
                      <w:bCs/>
                    </w:rPr>
                    <w:t>口</w:t>
                  </w:r>
                </w:p>
              </w:tc>
              <w:tc>
                <w:tcPr>
                  <w:tcW w:w="1387" w:type="dxa"/>
                  <w:tcBorders>
                    <w:top w:val="single" w:color="auto" w:sz="4" w:space="0"/>
                    <w:left w:val="single" w:color="auto" w:sz="4" w:space="0"/>
                    <w:bottom w:val="single" w:color="auto" w:sz="4" w:space="0"/>
                    <w:right w:val="single" w:color="auto" w:sz="4" w:space="0"/>
                  </w:tcBorders>
                  <w:vAlign w:val="center"/>
                </w:tcPr>
                <w:p>
                  <w:pPr>
                    <w:jc w:val="center"/>
                    <w:rPr>
                      <w:b/>
                      <w:bCs/>
                    </w:rPr>
                  </w:pPr>
                  <w:r>
                    <w:rPr>
                      <w:rFonts w:ascii="宋体" w:hAnsi="宋体"/>
                      <w:b/>
                      <w:bCs/>
                    </w:rPr>
                    <w:t>噪声源</w:t>
                  </w:r>
                </w:p>
              </w:tc>
              <w:tc>
                <w:tcPr>
                  <w:tcW w:w="1507" w:type="dxa"/>
                  <w:tcBorders>
                    <w:top w:val="single" w:color="auto" w:sz="4" w:space="0"/>
                    <w:left w:val="single" w:color="auto" w:sz="4" w:space="0"/>
                    <w:bottom w:val="single" w:color="auto" w:sz="4" w:space="0"/>
                    <w:right w:val="single" w:color="auto" w:sz="4" w:space="0"/>
                  </w:tcBorders>
                  <w:vAlign w:val="center"/>
                </w:tcPr>
                <w:p>
                  <w:pPr>
                    <w:jc w:val="center"/>
                    <w:rPr>
                      <w:b/>
                      <w:bCs/>
                    </w:rPr>
                  </w:pPr>
                  <w:r>
                    <w:rPr>
                      <w:rFonts w:ascii="宋体" w:hAnsi="宋体"/>
                      <w:b/>
                      <w:bCs/>
                    </w:rPr>
                    <w:t>固体废物堆场</w:t>
                  </w:r>
                </w:p>
              </w:tc>
              <w:tc>
                <w:tcPr>
                  <w:tcW w:w="1536" w:type="dxa"/>
                  <w:tcBorders>
                    <w:top w:val="single" w:color="auto" w:sz="4" w:space="0"/>
                    <w:left w:val="single" w:color="auto" w:sz="4" w:space="0"/>
                    <w:bottom w:val="single" w:color="auto" w:sz="4" w:space="0"/>
                    <w:right w:val="single" w:color="auto" w:sz="4" w:space="0"/>
                  </w:tcBorders>
                  <w:vAlign w:val="center"/>
                </w:tcPr>
                <w:p>
                  <w:pPr>
                    <w:jc w:val="center"/>
                    <w:rPr>
                      <w:b/>
                      <w:bCs/>
                    </w:rPr>
                  </w:pPr>
                  <w:r>
                    <w:rPr>
                      <w:rFonts w:hint="eastAsia" w:ascii="宋体" w:hAnsi="宋体"/>
                      <w:b/>
                    </w:rPr>
                    <w:t>污水排放口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52" w:type="dxa"/>
                  <w:tcBorders>
                    <w:top w:val="single" w:color="auto" w:sz="4" w:space="0"/>
                    <w:left w:val="single" w:color="auto" w:sz="4" w:space="0"/>
                    <w:bottom w:val="single" w:color="auto" w:sz="4" w:space="0"/>
                    <w:right w:val="single" w:color="auto" w:sz="4" w:space="0"/>
                  </w:tcBorders>
                  <w:vAlign w:val="center"/>
                </w:tcPr>
                <w:p>
                  <w:pPr>
                    <w:jc w:val="center"/>
                    <w:rPr>
                      <w:bCs/>
                    </w:rPr>
                  </w:pPr>
                  <w:r>
                    <w:rPr>
                      <w:rFonts w:ascii="宋体" w:hAnsi="宋体"/>
                      <w:bCs/>
                    </w:rPr>
                    <w:t>图形符号</w:t>
                  </w:r>
                </w:p>
              </w:tc>
              <w:tc>
                <w:tcPr>
                  <w:tcW w:w="1474" w:type="dxa"/>
                  <w:tcBorders>
                    <w:top w:val="single" w:color="auto" w:sz="4" w:space="0"/>
                    <w:left w:val="single" w:color="auto" w:sz="4" w:space="0"/>
                    <w:bottom w:val="single" w:color="auto" w:sz="4" w:space="0"/>
                    <w:right w:val="single" w:color="auto" w:sz="4" w:space="0"/>
                  </w:tcBorders>
                  <w:vAlign w:val="center"/>
                </w:tcPr>
                <w:p>
                  <w:pPr>
                    <w:jc w:val="center"/>
                    <w:rPr>
                      <w:bCs/>
                    </w:rPr>
                  </w:pPr>
                  <w:r>
                    <w:drawing>
                      <wp:inline distT="0" distB="0" distL="0" distR="0">
                        <wp:extent cx="790575" cy="790575"/>
                        <wp:effectExtent l="0" t="0" r="9525" b="9525"/>
                        <wp:docPr id="697" name="图片 697" descr="废气排放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图片 697" descr="废气排放口"/>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790575" cy="790575"/>
                                </a:xfrm>
                                <a:prstGeom prst="rect">
                                  <a:avLst/>
                                </a:prstGeom>
                                <a:noFill/>
                                <a:ln>
                                  <a:noFill/>
                                </a:ln>
                              </pic:spPr>
                            </pic:pic>
                          </a:graphicData>
                        </a:graphic>
                      </wp:inline>
                    </w:drawing>
                  </w:r>
                </w:p>
              </w:tc>
              <w:tc>
                <w:tcPr>
                  <w:tcW w:w="1387" w:type="dxa"/>
                  <w:tcBorders>
                    <w:top w:val="single" w:color="auto" w:sz="4" w:space="0"/>
                    <w:left w:val="single" w:color="auto" w:sz="4" w:space="0"/>
                    <w:bottom w:val="single" w:color="auto" w:sz="4" w:space="0"/>
                    <w:right w:val="single" w:color="auto" w:sz="4" w:space="0"/>
                  </w:tcBorders>
                  <w:vAlign w:val="center"/>
                </w:tcPr>
                <w:p>
                  <w:pPr>
                    <w:jc w:val="center"/>
                    <w:rPr>
                      <w:bCs/>
                    </w:rPr>
                  </w:pPr>
                  <w:r>
                    <w:drawing>
                      <wp:inline distT="0" distB="0" distL="0" distR="0">
                        <wp:extent cx="790575" cy="790575"/>
                        <wp:effectExtent l="0" t="0" r="9525" b="9525"/>
                        <wp:docPr id="696" name="图片 696" descr="噪声排放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图片 696" descr="噪声排放源"/>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790575" cy="790575"/>
                                </a:xfrm>
                                <a:prstGeom prst="rect">
                                  <a:avLst/>
                                </a:prstGeom>
                                <a:noFill/>
                                <a:ln>
                                  <a:noFill/>
                                </a:ln>
                              </pic:spPr>
                            </pic:pic>
                          </a:graphicData>
                        </a:graphic>
                      </wp:inline>
                    </w:drawing>
                  </w:r>
                </w:p>
              </w:tc>
              <w:tc>
                <w:tcPr>
                  <w:tcW w:w="1507" w:type="dxa"/>
                  <w:tcBorders>
                    <w:top w:val="single" w:color="auto" w:sz="4" w:space="0"/>
                    <w:left w:val="single" w:color="auto" w:sz="4" w:space="0"/>
                    <w:bottom w:val="single" w:color="auto" w:sz="4" w:space="0"/>
                    <w:right w:val="single" w:color="auto" w:sz="4" w:space="0"/>
                  </w:tcBorders>
                  <w:vAlign w:val="center"/>
                </w:tcPr>
                <w:p>
                  <w:pPr>
                    <w:jc w:val="center"/>
                    <w:rPr>
                      <w:bCs/>
                    </w:rPr>
                  </w:pPr>
                  <w:r>
                    <w:drawing>
                      <wp:inline distT="0" distB="0" distL="0" distR="0">
                        <wp:extent cx="790575" cy="790575"/>
                        <wp:effectExtent l="0" t="0" r="9525" b="9525"/>
                        <wp:docPr id="680" name="图片 680" descr="一般固体废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图片 680" descr="一般固体废物"/>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790575" cy="790575"/>
                                </a:xfrm>
                                <a:prstGeom prst="rect">
                                  <a:avLst/>
                                </a:prstGeom>
                                <a:noFill/>
                                <a:ln>
                                  <a:noFill/>
                                </a:ln>
                              </pic:spPr>
                            </pic:pic>
                          </a:graphicData>
                        </a:graphic>
                      </wp:inline>
                    </w:drawing>
                  </w:r>
                </w:p>
              </w:tc>
              <w:tc>
                <w:tcPr>
                  <w:tcW w:w="1536" w:type="dxa"/>
                  <w:tcBorders>
                    <w:top w:val="single" w:color="auto" w:sz="4" w:space="0"/>
                    <w:left w:val="single" w:color="auto" w:sz="4" w:space="0"/>
                    <w:bottom w:val="single" w:color="auto" w:sz="4" w:space="0"/>
                    <w:right w:val="single" w:color="auto" w:sz="4" w:space="0"/>
                  </w:tcBorders>
                  <w:vAlign w:val="center"/>
                </w:tcPr>
                <w:p>
                  <w:pPr>
                    <w:jc w:val="center"/>
                    <w:rPr>
                      <w:bCs/>
                    </w:rPr>
                  </w:pPr>
                  <w:r>
                    <w:drawing>
                      <wp:inline distT="0" distB="0" distL="0" distR="0">
                        <wp:extent cx="837565" cy="785495"/>
                        <wp:effectExtent l="0" t="0" r="635" b="0"/>
                        <wp:docPr id="10" name="图片 10" descr="废气排放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废气排放口"/>
                                <pic:cNvPicPr>
                                  <a:picLocks noChangeAspect="1"/>
                                </pic:cNvPicPr>
                              </pic:nvPicPr>
                              <pic:blipFill>
                                <a:blip r:embed="rId26"/>
                                <a:stretch>
                                  <a:fillRect/>
                                </a:stretch>
                              </pic:blipFill>
                              <pic:spPr>
                                <a:xfrm>
                                  <a:off x="0" y="0"/>
                                  <a:ext cx="837565" cy="785495"/>
                                </a:xfrm>
                                <a:prstGeom prst="rect">
                                  <a:avLst/>
                                </a:prstGeom>
                              </pic:spPr>
                            </pic:pic>
                          </a:graphicData>
                        </a:graphic>
                      </wp:inline>
                    </w:drawing>
                  </w:r>
                </w:p>
              </w:tc>
            </w:tr>
          </w:tbl>
          <w:p>
            <w:pPr>
              <w:autoSpaceDE w:val="0"/>
              <w:adjustRightInd w:val="0"/>
              <w:snapToGrid w:val="0"/>
              <w:spacing w:line="360" w:lineRule="auto"/>
              <w:rPr>
                <w:b/>
                <w:sz w:val="24"/>
              </w:rPr>
            </w:pPr>
            <w:r>
              <w:rPr>
                <w:b/>
                <w:sz w:val="24"/>
              </w:rPr>
              <w:t>（4）排污口管理</w:t>
            </w:r>
          </w:p>
          <w:p>
            <w:pPr>
              <w:autoSpaceDE w:val="0"/>
              <w:adjustRightInd w:val="0"/>
              <w:snapToGrid w:val="0"/>
              <w:spacing w:line="360" w:lineRule="auto"/>
              <w:ind w:firstLine="480" w:firstLineChars="200"/>
              <w:rPr>
                <w:sz w:val="24"/>
              </w:rPr>
            </w:pPr>
            <w:r>
              <w:rPr>
                <w:rFonts w:hint="eastAsia" w:ascii="宋体" w:hAnsi="宋体"/>
                <w:sz w:val="24"/>
              </w:rPr>
              <w:t>①</w:t>
            </w:r>
            <w:r>
              <w:rPr>
                <w:sz w:val="24"/>
              </w:rPr>
              <w:t>根据排污口管理档案内容要求，项目运行期间应将主要污染物种类、数量、浓度、排放去向、达标情况及设施运转情况记录于档案，并向如实向环保管理部门如实申报。</w:t>
            </w:r>
          </w:p>
          <w:p>
            <w:pPr>
              <w:spacing w:line="360" w:lineRule="auto"/>
              <w:ind w:firstLine="480" w:firstLineChars="200"/>
              <w:rPr>
                <w:sz w:val="24"/>
              </w:rPr>
            </w:pPr>
            <w:r>
              <w:rPr>
                <w:rFonts w:hint="eastAsia" w:ascii="宋体" w:hAnsi="宋体"/>
                <w:sz w:val="24"/>
              </w:rPr>
              <w:t>②</w:t>
            </w:r>
            <w:r>
              <w:rPr>
                <w:sz w:val="24"/>
              </w:rPr>
              <w:t>排污口规范化设置的有关设施属于环境保护设施，建设单位应将其纳入本单位的设备管理中，并选派责任心强、有专业知识和技能的人员对排污口进行管理。</w:t>
            </w:r>
          </w:p>
          <w:p>
            <w:pPr>
              <w:spacing w:line="360" w:lineRule="auto"/>
              <w:rPr>
                <w:rFonts w:ascii="黑体" w:hAnsi="黑体" w:eastAsia="黑体"/>
                <w:b/>
                <w:bCs/>
                <w:kern w:val="0"/>
                <w:sz w:val="24"/>
              </w:rPr>
            </w:pPr>
            <w:r>
              <w:rPr>
                <w:rFonts w:hint="eastAsia" w:ascii="黑体" w:hAnsi="黑体" w:eastAsia="黑体"/>
                <w:b/>
                <w:bCs/>
                <w:kern w:val="0"/>
                <w:sz w:val="24"/>
              </w:rPr>
              <w:t>（三）排污许可证申请与核发</w:t>
            </w:r>
          </w:p>
          <w:p>
            <w:pPr>
              <w:spacing w:line="360" w:lineRule="auto"/>
              <w:ind w:firstLine="480" w:firstLineChars="200"/>
              <w:rPr>
                <w:sz w:val="24"/>
              </w:rPr>
            </w:pPr>
            <w:r>
              <w:rPr>
                <w:rFonts w:hint="eastAsia"/>
                <w:sz w:val="24"/>
              </w:rPr>
              <w:t>根据《国务院办公厅关于印发控制污染物排放许可制实施方案的通知》国发办[2016]81 号文，新建项目必须在发生实际排污行为之前申领排污许可证，环境影响评价文件及批复中与污染物排放相关的主要内容应纳入排污许可证。</w:t>
            </w:r>
          </w:p>
          <w:p>
            <w:pPr>
              <w:spacing w:line="360" w:lineRule="auto"/>
              <w:ind w:firstLine="480" w:firstLineChars="200"/>
              <w:rPr>
                <w:sz w:val="24"/>
              </w:rPr>
            </w:pPr>
            <w:r>
              <w:rPr>
                <w:rFonts w:hint="eastAsia"/>
                <w:sz w:val="24"/>
              </w:rPr>
              <w:t>根据《固定污染源排污许可分类管理名录（2</w:t>
            </w:r>
            <w:r>
              <w:rPr>
                <w:sz w:val="24"/>
              </w:rPr>
              <w:t>019</w:t>
            </w:r>
            <w:r>
              <w:rPr>
                <w:rFonts w:hint="eastAsia"/>
                <w:sz w:val="24"/>
              </w:rPr>
              <w:t xml:space="preserve">年版）》，本项目属“其他建筑材料制造 </w:t>
            </w:r>
            <w:r>
              <w:rPr>
                <w:sz w:val="24"/>
              </w:rPr>
              <w:t>3039</w:t>
            </w:r>
            <w:r>
              <w:rPr>
                <w:rFonts w:hint="eastAsia"/>
                <w:sz w:val="24"/>
              </w:rPr>
              <w:t>”，固定污染源排污许可类别为“简化管理”。本次要求项目在取得环评批复投入试运行前完成固定污染源排污许可“简化管理”申报工作，做到合法持证排污。</w:t>
            </w:r>
          </w:p>
          <w:p>
            <w:pPr>
              <w:spacing w:line="360" w:lineRule="auto"/>
              <w:rPr>
                <w:rFonts w:ascii="黑体" w:hAnsi="黑体" w:eastAsia="黑体"/>
                <w:b/>
                <w:bCs/>
                <w:kern w:val="0"/>
                <w:sz w:val="24"/>
              </w:rPr>
            </w:pPr>
            <w:r>
              <w:rPr>
                <w:rFonts w:hint="eastAsia" w:ascii="黑体" w:hAnsi="黑体" w:eastAsia="黑体"/>
                <w:b/>
                <w:bCs/>
                <w:kern w:val="0"/>
                <w:sz w:val="24"/>
              </w:rPr>
              <w:t>（四）</w:t>
            </w:r>
            <w:r>
              <w:rPr>
                <w:rFonts w:ascii="黑体" w:hAnsi="黑体" w:eastAsia="黑体"/>
                <w:b/>
                <w:bCs/>
                <w:kern w:val="0"/>
                <w:sz w:val="24"/>
              </w:rPr>
              <w:t>竣工环境保护验收</w:t>
            </w:r>
          </w:p>
          <w:p>
            <w:pPr>
              <w:spacing w:line="360" w:lineRule="auto"/>
              <w:ind w:firstLine="480" w:firstLineChars="200"/>
              <w:rPr>
                <w:sz w:val="24"/>
              </w:rPr>
            </w:pPr>
            <w:r>
              <w:rPr>
                <w:sz w:val="24"/>
              </w:rPr>
              <w:t>根据《中华人民共和国环境保护法》（2014年修正，2015年1月1日起施行）《建设项目竣工环境保护验收暂行办法》（国环规环评[2017]4号，2017年11月20日发布实施）等相关法律法规要求，项目</w:t>
            </w:r>
            <w:r>
              <w:rPr>
                <w:rFonts w:hint="eastAsia"/>
                <w:sz w:val="24"/>
              </w:rPr>
              <w:t>建设完成</w:t>
            </w:r>
            <w:r>
              <w:rPr>
                <w:sz w:val="24"/>
              </w:rPr>
              <w:t>并投入</w:t>
            </w:r>
            <w:r>
              <w:rPr>
                <w:rFonts w:hint="eastAsia"/>
                <w:sz w:val="24"/>
              </w:rPr>
              <w:t>试</w:t>
            </w:r>
            <w:r>
              <w:rPr>
                <w:sz w:val="24"/>
              </w:rPr>
              <w:t>运行后，建设单位应开展项目竣工环境保护验收工作，竣工环境保护验收可参照本“环境保护措施监督检查清单”相关要求开展。竣工环境保护验收监测计划建议如下：</w:t>
            </w:r>
          </w:p>
          <w:p>
            <w:pPr>
              <w:adjustRightInd w:val="0"/>
              <w:snapToGrid w:val="0"/>
              <w:jc w:val="center"/>
              <w:rPr>
                <w:b/>
                <w:bCs/>
                <w:sz w:val="24"/>
              </w:rPr>
            </w:pPr>
            <w:r>
              <w:rPr>
                <w:b/>
                <w:bCs/>
                <w:sz w:val="24"/>
              </w:rPr>
              <w:t>表5.4-1  项目验收监测计划一览表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2"/>
              <w:gridCol w:w="2010"/>
              <w:gridCol w:w="2253"/>
              <w:gridCol w:w="1439"/>
              <w:gridCol w:w="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1" w:type="pct"/>
                  <w:vAlign w:val="center"/>
                </w:tcPr>
                <w:p>
                  <w:pPr>
                    <w:jc w:val="center"/>
                    <w:rPr>
                      <w:b/>
                      <w:szCs w:val="21"/>
                    </w:rPr>
                  </w:pPr>
                  <w:r>
                    <w:rPr>
                      <w:b/>
                      <w:szCs w:val="21"/>
                    </w:rPr>
                    <w:t>对象</w:t>
                  </w:r>
                </w:p>
              </w:tc>
              <w:tc>
                <w:tcPr>
                  <w:tcW w:w="1300" w:type="pct"/>
                  <w:vAlign w:val="center"/>
                </w:tcPr>
                <w:p>
                  <w:pPr>
                    <w:jc w:val="center"/>
                    <w:rPr>
                      <w:b/>
                      <w:szCs w:val="21"/>
                    </w:rPr>
                  </w:pPr>
                  <w:r>
                    <w:rPr>
                      <w:b/>
                      <w:szCs w:val="21"/>
                    </w:rPr>
                    <w:t>监测点位</w:t>
                  </w:r>
                </w:p>
              </w:tc>
              <w:tc>
                <w:tcPr>
                  <w:tcW w:w="1457" w:type="pct"/>
                  <w:vAlign w:val="center"/>
                </w:tcPr>
                <w:p>
                  <w:pPr>
                    <w:jc w:val="center"/>
                    <w:rPr>
                      <w:b/>
                      <w:szCs w:val="21"/>
                    </w:rPr>
                  </w:pPr>
                  <w:r>
                    <w:rPr>
                      <w:b/>
                      <w:szCs w:val="21"/>
                    </w:rPr>
                    <w:t>监测项目</w:t>
                  </w:r>
                </w:p>
              </w:tc>
              <w:tc>
                <w:tcPr>
                  <w:tcW w:w="931" w:type="pct"/>
                  <w:vAlign w:val="center"/>
                </w:tcPr>
                <w:p>
                  <w:pPr>
                    <w:jc w:val="center"/>
                    <w:rPr>
                      <w:b/>
                      <w:szCs w:val="21"/>
                    </w:rPr>
                  </w:pPr>
                  <w:r>
                    <w:rPr>
                      <w:b/>
                      <w:szCs w:val="21"/>
                    </w:rPr>
                    <w:t>监测频率</w:t>
                  </w:r>
                </w:p>
              </w:tc>
              <w:tc>
                <w:tcPr>
                  <w:tcW w:w="541" w:type="pct"/>
                  <w:vAlign w:val="center"/>
                </w:tcPr>
                <w:p>
                  <w:pPr>
                    <w:jc w:val="center"/>
                    <w:rPr>
                      <w:b/>
                      <w:szCs w:val="21"/>
                    </w:rPr>
                  </w:pPr>
                  <w:r>
                    <w:rPr>
                      <w:b/>
                      <w:szCs w:val="21"/>
                    </w:rPr>
                    <w:t>实施机构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1" w:type="pct"/>
                  <w:vAlign w:val="center"/>
                </w:tcPr>
                <w:p>
                  <w:pPr>
                    <w:jc w:val="center"/>
                    <w:rPr>
                      <w:bCs/>
                      <w:szCs w:val="21"/>
                    </w:rPr>
                  </w:pPr>
                  <w:r>
                    <w:rPr>
                      <w:rFonts w:hint="eastAsia"/>
                      <w:bCs/>
                      <w:szCs w:val="21"/>
                    </w:rPr>
                    <w:t>废气</w:t>
                  </w:r>
                </w:p>
              </w:tc>
              <w:tc>
                <w:tcPr>
                  <w:tcW w:w="1300" w:type="pct"/>
                  <w:vAlign w:val="center"/>
                </w:tcPr>
                <w:p>
                  <w:pPr>
                    <w:jc w:val="center"/>
                    <w:rPr>
                      <w:bCs/>
                      <w:szCs w:val="21"/>
                    </w:rPr>
                  </w:pPr>
                  <w:r>
                    <w:rPr>
                      <w:bCs/>
                      <w:szCs w:val="21"/>
                    </w:rPr>
                    <w:t>厂界上风向1个监测点，下风向3个监测点</w:t>
                  </w:r>
                </w:p>
              </w:tc>
              <w:tc>
                <w:tcPr>
                  <w:tcW w:w="1457" w:type="pct"/>
                  <w:vAlign w:val="center"/>
                </w:tcPr>
                <w:p>
                  <w:pPr>
                    <w:jc w:val="center"/>
                    <w:rPr>
                      <w:szCs w:val="21"/>
                    </w:rPr>
                  </w:pPr>
                  <w:r>
                    <w:rPr>
                      <w:szCs w:val="21"/>
                    </w:rPr>
                    <w:t>颗粒物</w:t>
                  </w:r>
                </w:p>
              </w:tc>
              <w:tc>
                <w:tcPr>
                  <w:tcW w:w="931" w:type="pct"/>
                  <w:vAlign w:val="center"/>
                </w:tcPr>
                <w:p>
                  <w:pPr>
                    <w:jc w:val="center"/>
                    <w:rPr>
                      <w:szCs w:val="21"/>
                    </w:rPr>
                  </w:pPr>
                  <w:r>
                    <w:rPr>
                      <w:bCs/>
                      <w:szCs w:val="21"/>
                    </w:rPr>
                    <w:t>监测2天，每天3次</w:t>
                  </w:r>
                </w:p>
              </w:tc>
              <w:tc>
                <w:tcPr>
                  <w:tcW w:w="541" w:type="pct"/>
                  <w:vMerge w:val="restart"/>
                  <w:vAlign w:val="center"/>
                </w:tcPr>
                <w:p>
                  <w:pPr>
                    <w:jc w:val="center"/>
                    <w:rPr>
                      <w:bCs/>
                      <w:szCs w:val="21"/>
                    </w:rPr>
                  </w:pPr>
                  <w:r>
                    <w:rPr>
                      <w:rFonts w:hint="eastAsia"/>
                      <w:bCs/>
                      <w:szCs w:val="21"/>
                    </w:rPr>
                    <w:t>委托相关资质单位进行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1" w:type="pct"/>
                  <w:vAlign w:val="center"/>
                </w:tcPr>
                <w:p>
                  <w:pPr>
                    <w:jc w:val="center"/>
                    <w:rPr>
                      <w:bCs/>
                      <w:szCs w:val="21"/>
                    </w:rPr>
                  </w:pPr>
                  <w:r>
                    <w:rPr>
                      <w:bCs/>
                      <w:szCs w:val="21"/>
                    </w:rPr>
                    <w:t>噪声</w:t>
                  </w:r>
                </w:p>
              </w:tc>
              <w:tc>
                <w:tcPr>
                  <w:tcW w:w="1300" w:type="pct"/>
                  <w:vAlign w:val="center"/>
                </w:tcPr>
                <w:p>
                  <w:pPr>
                    <w:jc w:val="center"/>
                    <w:rPr>
                      <w:bCs/>
                      <w:szCs w:val="21"/>
                    </w:rPr>
                  </w:pPr>
                  <w:r>
                    <w:rPr>
                      <w:bCs/>
                      <w:szCs w:val="21"/>
                    </w:rPr>
                    <w:t>项目</w:t>
                  </w:r>
                  <w:r>
                    <w:rPr>
                      <w:rFonts w:hint="eastAsia"/>
                      <w:bCs/>
                      <w:szCs w:val="21"/>
                    </w:rPr>
                    <w:t>厂界东、南、西、北测</w:t>
                  </w:r>
                  <w:r>
                    <w:rPr>
                      <w:bCs/>
                      <w:szCs w:val="21"/>
                    </w:rPr>
                    <w:t>各设1监测点</w:t>
                  </w:r>
                </w:p>
              </w:tc>
              <w:tc>
                <w:tcPr>
                  <w:tcW w:w="1457" w:type="pct"/>
                  <w:vAlign w:val="center"/>
                </w:tcPr>
                <w:p>
                  <w:pPr>
                    <w:jc w:val="center"/>
                    <w:rPr>
                      <w:bCs/>
                      <w:szCs w:val="21"/>
                    </w:rPr>
                  </w:pPr>
                  <w:r>
                    <w:rPr>
                      <w:bCs/>
                      <w:szCs w:val="21"/>
                    </w:rPr>
                    <w:t>等效连续A声级Leq</w:t>
                  </w:r>
                </w:p>
              </w:tc>
              <w:tc>
                <w:tcPr>
                  <w:tcW w:w="931" w:type="pct"/>
                  <w:vAlign w:val="center"/>
                </w:tcPr>
                <w:p>
                  <w:pPr>
                    <w:jc w:val="center"/>
                    <w:rPr>
                      <w:bCs/>
                      <w:szCs w:val="21"/>
                    </w:rPr>
                  </w:pPr>
                  <w:r>
                    <w:rPr>
                      <w:szCs w:val="21"/>
                    </w:rPr>
                    <w:t>连续监测2天，每天昼夜各1次</w:t>
                  </w:r>
                </w:p>
              </w:tc>
              <w:tc>
                <w:tcPr>
                  <w:tcW w:w="541" w:type="pct"/>
                  <w:vMerge w:val="continue"/>
                  <w:vAlign w:val="center"/>
                </w:tcPr>
                <w:p>
                  <w:pPr>
                    <w:jc w:val="center"/>
                    <w:rPr>
                      <w:bCs/>
                      <w:szCs w:val="21"/>
                    </w:rPr>
                  </w:pPr>
                </w:p>
              </w:tc>
            </w:tr>
          </w:tbl>
          <w:p>
            <w:pPr>
              <w:adjustRightInd w:val="0"/>
              <w:snapToGrid w:val="0"/>
              <w:spacing w:line="360" w:lineRule="auto"/>
              <w:jc w:val="left"/>
              <w:rPr>
                <w:szCs w:val="21"/>
              </w:rPr>
            </w:pPr>
          </w:p>
        </w:tc>
      </w:tr>
    </w:tbl>
    <w:p>
      <w:r>
        <w:br w:type="page"/>
      </w:r>
    </w:p>
    <w:p>
      <w:pPr>
        <w:pStyle w:val="30"/>
        <w:spacing w:before="0" w:beforeAutospacing="0" w:after="0" w:afterAutospacing="0"/>
        <w:jc w:val="center"/>
        <w:outlineLvl w:val="0"/>
        <w:rPr>
          <w:rFonts w:ascii="黑体" w:hAnsi="黑体" w:eastAsia="黑体"/>
          <w:b/>
          <w:bCs/>
          <w:snapToGrid w:val="0"/>
          <w:sz w:val="30"/>
          <w:szCs w:val="30"/>
        </w:rPr>
      </w:pPr>
      <w:bookmarkStart w:id="64" w:name="_Toc140064124"/>
      <w:r>
        <w:rPr>
          <w:rFonts w:ascii="黑体" w:hAnsi="黑体" w:eastAsia="黑体"/>
          <w:b/>
          <w:bCs/>
          <w:snapToGrid w:val="0"/>
          <w:sz w:val="30"/>
          <w:szCs w:val="30"/>
        </w:rPr>
        <w:t>六、结论</w:t>
      </w:r>
      <w:bookmarkEnd w:id="64"/>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82" w:hRule="atLeast"/>
          <w:jc w:val="center"/>
        </w:trPr>
        <w:tc>
          <w:tcPr>
            <w:tcW w:w="8865" w:type="dxa"/>
          </w:tcPr>
          <w:p>
            <w:pPr>
              <w:spacing w:line="360" w:lineRule="auto"/>
              <w:ind w:firstLine="480" w:firstLineChars="200"/>
              <w:jc w:val="left"/>
              <w:rPr>
                <w:sz w:val="24"/>
              </w:rPr>
            </w:pPr>
            <w:r>
              <w:rPr>
                <w:rFonts w:hint="eastAsia"/>
                <w:sz w:val="24"/>
              </w:rPr>
              <w:t>评价认为项目建设</w:t>
            </w:r>
            <w:r>
              <w:rPr>
                <w:sz w:val="24"/>
              </w:rPr>
              <w:t>符合国家产业政策</w:t>
            </w:r>
            <w:r>
              <w:rPr>
                <w:rFonts w:hint="eastAsia"/>
                <w:sz w:val="24"/>
              </w:rPr>
              <w:t>，满足与所在地“三线一单”（生态保护红线、环境质量底线、资源利用上线和生态环境准入清单）及相关生态环境保护法律法规政策、生态环境保护规划的相关要求。</w:t>
            </w:r>
            <w:r>
              <w:rPr>
                <w:sz w:val="24"/>
              </w:rPr>
              <w:t>工程在</w:t>
            </w:r>
            <w:r>
              <w:rPr>
                <w:rFonts w:hint="eastAsia"/>
                <w:sz w:val="24"/>
              </w:rPr>
              <w:t>建设</w:t>
            </w:r>
            <w:r>
              <w:rPr>
                <w:sz w:val="24"/>
              </w:rPr>
              <w:t>运行期将不可避免地对周围一定范围的生态环境、水环境、声环境、</w:t>
            </w:r>
            <w:r>
              <w:rPr>
                <w:rFonts w:hint="eastAsia"/>
                <w:sz w:val="24"/>
              </w:rPr>
              <w:t>大气环境</w:t>
            </w:r>
            <w:r>
              <w:rPr>
                <w:sz w:val="24"/>
              </w:rPr>
              <w:t>等产生一定的负面影响</w:t>
            </w:r>
            <w:r>
              <w:rPr>
                <w:rFonts w:hint="eastAsia"/>
                <w:sz w:val="24"/>
              </w:rPr>
              <w:t>并存在一定环境风险；</w:t>
            </w:r>
            <w:r>
              <w:rPr>
                <w:sz w:val="24"/>
              </w:rPr>
              <w:t>但建设</w:t>
            </w:r>
            <w:r>
              <w:rPr>
                <w:rFonts w:hint="eastAsia"/>
                <w:sz w:val="24"/>
              </w:rPr>
              <w:t>单位</w:t>
            </w:r>
            <w:r>
              <w:rPr>
                <w:sz w:val="24"/>
              </w:rPr>
              <w:t>只要严格地按</w:t>
            </w:r>
            <w:r>
              <w:rPr>
                <w:rFonts w:hint="eastAsia"/>
                <w:sz w:val="24"/>
              </w:rPr>
              <w:t>“</w:t>
            </w:r>
            <w:r>
              <w:rPr>
                <w:sz w:val="24"/>
              </w:rPr>
              <w:t>三同时</w:t>
            </w:r>
            <w:r>
              <w:rPr>
                <w:rFonts w:hint="eastAsia"/>
                <w:sz w:val="24"/>
              </w:rPr>
              <w:t>”</w:t>
            </w:r>
            <w:r>
              <w:rPr>
                <w:sz w:val="24"/>
              </w:rPr>
              <w:t>的原则设计和施工，落实设计和本报告提出的</w:t>
            </w:r>
            <w:r>
              <w:rPr>
                <w:rFonts w:hint="eastAsia"/>
                <w:sz w:val="24"/>
              </w:rPr>
              <w:t>污染防治</w:t>
            </w:r>
            <w:r>
              <w:rPr>
                <w:sz w:val="24"/>
              </w:rPr>
              <w:t>措施，在投产后加强环境管理，</w:t>
            </w:r>
            <w:r>
              <w:rPr>
                <w:rFonts w:hint="eastAsia"/>
                <w:sz w:val="24"/>
              </w:rPr>
              <w:t>确保运营期各污染物达标排放</w:t>
            </w:r>
            <w:r>
              <w:rPr>
                <w:sz w:val="24"/>
              </w:rPr>
              <w:t>，</w:t>
            </w:r>
            <w:r>
              <w:rPr>
                <w:rFonts w:hint="eastAsia"/>
                <w:sz w:val="24"/>
              </w:rPr>
              <w:t>工程建设运行期</w:t>
            </w:r>
            <w:r>
              <w:rPr>
                <w:sz w:val="24"/>
              </w:rPr>
              <w:t>不会对区域环境造成大的污染，不会降低和改变该区域的环境质量和环境功能，项目对周边环境的影响在可接受范围内。从环境保护的角度分析，</w:t>
            </w:r>
            <w:r>
              <w:rPr>
                <w:rFonts w:hint="eastAsia"/>
                <w:sz w:val="24"/>
              </w:rPr>
              <w:t>评价认为项目可在选定地点按照拟定规模继续实施</w:t>
            </w:r>
            <w:r>
              <w:rPr>
                <w:sz w:val="24"/>
              </w:rPr>
              <w:t>。</w:t>
            </w:r>
          </w:p>
        </w:tc>
      </w:tr>
    </w:tbl>
    <w:p>
      <w:pPr>
        <w:rPr>
          <w:sz w:val="36"/>
          <w:szCs w:val="36"/>
        </w:rPr>
        <w:sectPr>
          <w:pgSz w:w="11906" w:h="16838"/>
          <w:pgMar w:top="1440" w:right="1800" w:bottom="1440" w:left="1800" w:header="851" w:footer="992" w:gutter="0"/>
          <w:cols w:space="425" w:num="1"/>
          <w:docGrid w:type="lines" w:linePitch="312" w:charSpace="0"/>
        </w:sectPr>
      </w:pPr>
    </w:p>
    <w:p/>
    <w:sectPr>
      <w:footerReference r:id="rId6"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Courier New">
    <w:altName w:val="DejaVu Sans"/>
    <w:panose1 w:val="02070309020205020404"/>
    <w:charset w:val="00"/>
    <w:family w:val="modern"/>
    <w:pitch w:val="default"/>
    <w:sig w:usb0="00000000" w:usb1="00000000" w:usb2="00000009" w:usb3="00000000" w:csb0="000001FF" w:csb1="00000000"/>
  </w:font>
  <w:font w:name="宋体_x0001_..擢.">
    <w:altName w:val="方正书宋_GBK"/>
    <w:panose1 w:val="00000000000000000000"/>
    <w:charset w:val="86"/>
    <w:family w:val="roman"/>
    <w:pitch w:val="default"/>
    <w:sig w:usb0="00000000" w:usb1="00000000" w:usb2="00000010" w:usb3="00000000" w:csb0="00040000" w:csb1="00000000"/>
  </w:font>
  <w:font w:name="楷体_GB2312">
    <w:altName w:val="方正楷体_GBK"/>
    <w:panose1 w:val="00000000000000000000"/>
    <w:charset w:val="86"/>
    <w:family w:val="modern"/>
    <w:pitch w:val="default"/>
    <w:sig w:usb0="00000000" w:usb1="00000000" w:usb2="00000010" w:usb3="00000000" w:csb0="00040000" w:csb1="00000000"/>
  </w:font>
  <w:font w:name="方正楷体_GBK">
    <w:panose1 w:val="02000000000000000000"/>
    <w:charset w:val="86"/>
    <w:family w:val="auto"/>
    <w:pitch w:val="default"/>
    <w:sig w:usb0="00000001" w:usb1="08000000" w:usb2="00000000" w:usb3="00000000" w:csb0="00040000" w:csb1="00000000"/>
  </w:font>
  <w:font w:name="Arial">
    <w:altName w:val="DejaVu Sans"/>
    <w:panose1 w:val="020B0604020202020204"/>
    <w:charset w:val="00"/>
    <w:family w:val="swiss"/>
    <w:pitch w:val="default"/>
    <w:sig w:usb0="00000000" w:usb1="00000000" w:usb2="00000009" w:usb3="00000000" w:csb0="000001FF" w:csb1="00000000"/>
  </w:font>
  <w:font w:name="MingLiU">
    <w:altName w:val="方正书宋_GBK"/>
    <w:panose1 w:val="02010609000101010101"/>
    <w:charset w:val="88"/>
    <w:family w:val="modern"/>
    <w:pitch w:val="default"/>
    <w:sig w:usb0="00000000" w:usb1="00000000" w:usb2="00000016" w:usb3="00000000" w:csb0="00100001" w:csb1="00000000"/>
  </w:font>
  <w:font w:name="仿宋_GB2312">
    <w:altName w:val="方正仿宋_GBK"/>
    <w:panose1 w:val="00000000000000000000"/>
    <w:charset w:val="86"/>
    <w:family w:val="modern"/>
    <w:pitch w:val="default"/>
    <w:sig w:usb0="00000000" w:usb1="00000000" w:usb2="00000010" w:usb3="00000000" w:csb0="00040000" w:csb1="00000000"/>
  </w:font>
  <w:font w:name="方正仿宋_GBK">
    <w:panose1 w:val="02000000000000000000"/>
    <w:charset w:val="86"/>
    <w:family w:val="auto"/>
    <w:pitch w:val="default"/>
    <w:sig w:usb0="00000001" w:usb1="08000000" w:usb2="00000000" w:usb3="00000000" w:csb0="00040000" w:csb1="00000000"/>
  </w:font>
  <w:font w:name="Arial Unicode MS">
    <w:altName w:val="DejaVu Sans"/>
    <w:panose1 w:val="020B0604020202020204"/>
    <w:charset w:val="86"/>
    <w:family w:val="swiss"/>
    <w:pitch w:val="default"/>
    <w:sig w:usb0="00000000" w:usb1="00000000" w:usb2="0000007F" w:usb3="00000000" w:csb0="003F01FF" w:csb1="00000000"/>
  </w:font>
  <w:font w:name="Calibri Light">
    <w:altName w:val="DejaVu Sans"/>
    <w:panose1 w:val="020F0302020204030204"/>
    <w:charset w:val="00"/>
    <w:family w:val="swiss"/>
    <w:pitch w:val="default"/>
    <w:sig w:usb0="00000000" w:usb1="00000000" w:usb2="00000000" w:usb3="00000000" w:csb0="000001FF" w:csb1="00000000"/>
  </w:font>
  <w:font w:name="等线">
    <w:altName w:val="华文中宋"/>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仿宋">
    <w:altName w:val="方正仿宋_GBK"/>
    <w:panose1 w:val="02010609060101010101"/>
    <w:charset w:val="86"/>
    <w:family w:val="modern"/>
    <w:pitch w:val="default"/>
    <w:sig w:usb0="00000000" w:usb1="00000000" w:usb2="00000016" w:usb3="00000000" w:csb0="00040001" w:csb1="00000000"/>
  </w:font>
  <w:font w:name="Verdana">
    <w:altName w:val="DejaVu Sans"/>
    <w:panose1 w:val="020B0604030504040204"/>
    <w:charset w:val="00"/>
    <w:family w:val="swiss"/>
    <w:pitch w:val="default"/>
    <w:sig w:usb0="00000000" w:usb1="00000000" w:usb2="00000010" w:usb3="00000000" w:csb0="0000019F" w:csb1="00000000"/>
  </w:font>
  <w:font w:name="Microsoft YaHei UI">
    <w:altName w:val="文泉驿微米黑"/>
    <w:panose1 w:val="020B0503020204020204"/>
    <w:charset w:val="86"/>
    <w:family w:val="swiss"/>
    <w:pitch w:val="default"/>
    <w:sig w:usb0="00000000" w:usb1="00000000" w:usb2="00000016" w:usb3="00000000" w:csb0="0004001F" w:csb1="00000000"/>
  </w:font>
  <w:font w:name="文泉驿微米黑">
    <w:panose1 w:val="020B0606030804020204"/>
    <w:charset w:val="86"/>
    <w:family w:val="auto"/>
    <w:pitch w:val="default"/>
    <w:sig w:usb0="E10002EF" w:usb1="6BDFFCFB" w:usb2="00800036" w:usb3="00000000" w:csb0="603E019F" w:csb1="DFD70000"/>
  </w:font>
  <w:font w:name="Wingdings 2">
    <w:panose1 w:val="05020102010507070707"/>
    <w:charset w:val="02"/>
    <w:family w:val="roman"/>
    <w:pitch w:val="default"/>
    <w:sig w:usb0="00000000" w:usb1="00000000" w:usb2="00000000" w:usb3="00000000" w:csb0="80000000" w:csb1="00000000"/>
  </w:font>
  <w:font w:name="Noto Sans CJK JP Bold">
    <w:panose1 w:val="020B0800000000000000"/>
    <w:charset w:val="86"/>
    <w:family w:val="auto"/>
    <w:pitch w:val="default"/>
    <w:sig w:usb0="30000003" w:usb1="2BDF3C10" w:usb2="00000016" w:usb3="00000000" w:csb0="602E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8005624"/>
      <w:docPartObj>
        <w:docPartGallery w:val="autotext"/>
      </w:docPartObj>
    </w:sdtPr>
    <w:sdtContent>
      <w:p>
        <w:pPr>
          <w:pStyle w:val="23"/>
          <w:jc w:val="center"/>
        </w:pPr>
        <w:r>
          <w:fldChar w:fldCharType="begin"/>
        </w:r>
        <w:r>
          <w:instrText xml:space="preserve">PAGE   \* MERGEFORMAT</w:instrText>
        </w:r>
        <w:r>
          <w:fldChar w:fldCharType="separate"/>
        </w:r>
        <w:r>
          <w:rPr>
            <w:lang w:val="zh-CN"/>
          </w:rPr>
          <w:t>2</w:t>
        </w:r>
        <w:r>
          <w:fldChar w:fldCharType="end"/>
        </w:r>
      </w:p>
    </w:sdtContent>
  </w:sdt>
  <w:p>
    <w:pPr>
      <w:pStyle w:val="2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52685410"/>
      <w:docPartObj>
        <w:docPartGallery w:val="AutoText"/>
      </w:docPartObj>
    </w:sdtPr>
    <w:sdtContent>
      <w:p>
        <w:pPr>
          <w:pStyle w:val="23"/>
          <w:jc w:val="center"/>
        </w:pPr>
        <w:r>
          <w:fldChar w:fldCharType="begin"/>
        </w:r>
        <w:r>
          <w:instrText xml:space="preserve">PAGE   \* MERGEFORMAT</w:instrText>
        </w:r>
        <w:r>
          <w:fldChar w:fldCharType="separate"/>
        </w:r>
        <w:r>
          <w:rPr>
            <w:lang w:val="zh-CN"/>
          </w:rPr>
          <w:t>2</w:t>
        </w:r>
        <w:r>
          <w:fldChar w:fldCharType="end"/>
        </w:r>
      </w:p>
    </w:sdtContent>
  </w:sdt>
  <w:p>
    <w:pPr>
      <w:pStyle w:val="23"/>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23620536"/>
      <w:docPartObj>
        <w:docPartGallery w:val="autotext"/>
      </w:docPartObj>
    </w:sdtPr>
    <w:sdtContent>
      <w:p>
        <w:pPr>
          <w:pStyle w:val="23"/>
          <w:jc w:val="center"/>
        </w:pPr>
        <w:r>
          <w:fldChar w:fldCharType="begin"/>
        </w:r>
        <w:r>
          <w:instrText xml:space="preserve">PAGE   \* MERGEFORMAT</w:instrText>
        </w:r>
        <w:r>
          <w:fldChar w:fldCharType="separate"/>
        </w:r>
        <w:r>
          <w:rPr>
            <w:lang w:val="zh-CN"/>
          </w:rPr>
          <w:t>2</w:t>
        </w:r>
        <w:r>
          <w:fldChar w:fldCharType="end"/>
        </w:r>
      </w:p>
    </w:sdtContent>
  </w:sdt>
  <w:p>
    <w:pPr>
      <w:pStyle w:val="23"/>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E1E33F"/>
    <w:multiLevelType w:val="singleLevel"/>
    <w:tmpl w:val="A2E1E33F"/>
    <w:lvl w:ilvl="0" w:tentative="0">
      <w:start w:val="2"/>
      <w:numFmt w:val="chineseCounting"/>
      <w:suff w:val="nothing"/>
      <w:lvlText w:val="%1、"/>
      <w:lvlJc w:val="left"/>
      <w:rPr>
        <w:rFonts w:hint="eastAsia"/>
      </w:rPr>
    </w:lvl>
  </w:abstractNum>
  <w:abstractNum w:abstractNumId="1">
    <w:nsid w:val="FFFFFF89"/>
    <w:multiLevelType w:val="singleLevel"/>
    <w:tmpl w:val="FFFFFF89"/>
    <w:lvl w:ilvl="0" w:tentative="0">
      <w:start w:val="1"/>
      <w:numFmt w:val="bullet"/>
      <w:pStyle w:val="9"/>
      <w:lvlText w:val=""/>
      <w:lvlJc w:val="left"/>
      <w:pPr>
        <w:tabs>
          <w:tab w:val="left" w:pos="360"/>
        </w:tabs>
        <w:ind w:left="360" w:hanging="360" w:hangingChars="20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BiODkyZmE5ZDVmZTExM2NlNjlmYTc4MGJlZDBjOWUifQ=="/>
  </w:docVars>
  <w:rsids>
    <w:rsidRoot w:val="4D053DB7"/>
    <w:rsid w:val="0000274F"/>
    <w:rsid w:val="000059AD"/>
    <w:rsid w:val="00005DF0"/>
    <w:rsid w:val="0000769C"/>
    <w:rsid w:val="0001113A"/>
    <w:rsid w:val="00011C5C"/>
    <w:rsid w:val="00011C97"/>
    <w:rsid w:val="000123AD"/>
    <w:rsid w:val="00013EA5"/>
    <w:rsid w:val="00014652"/>
    <w:rsid w:val="000148CF"/>
    <w:rsid w:val="000158E2"/>
    <w:rsid w:val="00017DDE"/>
    <w:rsid w:val="000211D0"/>
    <w:rsid w:val="0002285D"/>
    <w:rsid w:val="000233AA"/>
    <w:rsid w:val="00025A90"/>
    <w:rsid w:val="00026243"/>
    <w:rsid w:val="000271A6"/>
    <w:rsid w:val="0002721B"/>
    <w:rsid w:val="00027EDA"/>
    <w:rsid w:val="0003133A"/>
    <w:rsid w:val="000319BE"/>
    <w:rsid w:val="000338C5"/>
    <w:rsid w:val="00034F30"/>
    <w:rsid w:val="000368DD"/>
    <w:rsid w:val="00036F8A"/>
    <w:rsid w:val="00040012"/>
    <w:rsid w:val="00040EE4"/>
    <w:rsid w:val="00041A31"/>
    <w:rsid w:val="000425D0"/>
    <w:rsid w:val="00043A3D"/>
    <w:rsid w:val="00043C20"/>
    <w:rsid w:val="00045E79"/>
    <w:rsid w:val="00046795"/>
    <w:rsid w:val="00046D7E"/>
    <w:rsid w:val="0005030C"/>
    <w:rsid w:val="00051FDC"/>
    <w:rsid w:val="000520F4"/>
    <w:rsid w:val="00053245"/>
    <w:rsid w:val="00053458"/>
    <w:rsid w:val="0005398A"/>
    <w:rsid w:val="00054611"/>
    <w:rsid w:val="00054737"/>
    <w:rsid w:val="00055806"/>
    <w:rsid w:val="000566E3"/>
    <w:rsid w:val="000601FB"/>
    <w:rsid w:val="00061A76"/>
    <w:rsid w:val="000642F3"/>
    <w:rsid w:val="000658CC"/>
    <w:rsid w:val="00065D26"/>
    <w:rsid w:val="00065E80"/>
    <w:rsid w:val="000661AB"/>
    <w:rsid w:val="000661F2"/>
    <w:rsid w:val="00066B9E"/>
    <w:rsid w:val="00067068"/>
    <w:rsid w:val="00067EAD"/>
    <w:rsid w:val="00070DD9"/>
    <w:rsid w:val="00071B30"/>
    <w:rsid w:val="00072A60"/>
    <w:rsid w:val="000737E3"/>
    <w:rsid w:val="000761D1"/>
    <w:rsid w:val="00080135"/>
    <w:rsid w:val="00080367"/>
    <w:rsid w:val="0008198D"/>
    <w:rsid w:val="00081D8A"/>
    <w:rsid w:val="00081F25"/>
    <w:rsid w:val="000828FA"/>
    <w:rsid w:val="00082FDF"/>
    <w:rsid w:val="00083173"/>
    <w:rsid w:val="000837D6"/>
    <w:rsid w:val="000854FA"/>
    <w:rsid w:val="00086483"/>
    <w:rsid w:val="00086590"/>
    <w:rsid w:val="0008772C"/>
    <w:rsid w:val="000877A9"/>
    <w:rsid w:val="00087CD9"/>
    <w:rsid w:val="00092036"/>
    <w:rsid w:val="00092668"/>
    <w:rsid w:val="00093171"/>
    <w:rsid w:val="00094ED6"/>
    <w:rsid w:val="00095C52"/>
    <w:rsid w:val="00095D00"/>
    <w:rsid w:val="000A1944"/>
    <w:rsid w:val="000A1F9D"/>
    <w:rsid w:val="000A2AE2"/>
    <w:rsid w:val="000A39EB"/>
    <w:rsid w:val="000A4BD0"/>
    <w:rsid w:val="000A63EA"/>
    <w:rsid w:val="000A6697"/>
    <w:rsid w:val="000A729F"/>
    <w:rsid w:val="000A7B00"/>
    <w:rsid w:val="000A7C76"/>
    <w:rsid w:val="000B00E4"/>
    <w:rsid w:val="000B21E5"/>
    <w:rsid w:val="000B415E"/>
    <w:rsid w:val="000B5C95"/>
    <w:rsid w:val="000B76F9"/>
    <w:rsid w:val="000B797C"/>
    <w:rsid w:val="000C0D7E"/>
    <w:rsid w:val="000C16FF"/>
    <w:rsid w:val="000C1A94"/>
    <w:rsid w:val="000C2A22"/>
    <w:rsid w:val="000C38C8"/>
    <w:rsid w:val="000C3CE9"/>
    <w:rsid w:val="000C487E"/>
    <w:rsid w:val="000C5C44"/>
    <w:rsid w:val="000C70D2"/>
    <w:rsid w:val="000C7A10"/>
    <w:rsid w:val="000D071A"/>
    <w:rsid w:val="000D0B9E"/>
    <w:rsid w:val="000D2755"/>
    <w:rsid w:val="000D34C7"/>
    <w:rsid w:val="000D4079"/>
    <w:rsid w:val="000D5D51"/>
    <w:rsid w:val="000D601C"/>
    <w:rsid w:val="000D77EB"/>
    <w:rsid w:val="000E0145"/>
    <w:rsid w:val="000E0930"/>
    <w:rsid w:val="000E1C38"/>
    <w:rsid w:val="000E20CB"/>
    <w:rsid w:val="000E2356"/>
    <w:rsid w:val="000E2362"/>
    <w:rsid w:val="000E24B1"/>
    <w:rsid w:val="000E283C"/>
    <w:rsid w:val="000E40C1"/>
    <w:rsid w:val="000E44AF"/>
    <w:rsid w:val="000E4716"/>
    <w:rsid w:val="000E538F"/>
    <w:rsid w:val="000E55D0"/>
    <w:rsid w:val="000E5C90"/>
    <w:rsid w:val="000E7D69"/>
    <w:rsid w:val="000F2393"/>
    <w:rsid w:val="000F27A5"/>
    <w:rsid w:val="000F27DB"/>
    <w:rsid w:val="000F296E"/>
    <w:rsid w:val="000F39C9"/>
    <w:rsid w:val="000F478B"/>
    <w:rsid w:val="000F53A2"/>
    <w:rsid w:val="000F650D"/>
    <w:rsid w:val="000F6883"/>
    <w:rsid w:val="000F6F74"/>
    <w:rsid w:val="000F717C"/>
    <w:rsid w:val="00100EC8"/>
    <w:rsid w:val="0010293E"/>
    <w:rsid w:val="00102B6A"/>
    <w:rsid w:val="00103585"/>
    <w:rsid w:val="00103748"/>
    <w:rsid w:val="00105785"/>
    <w:rsid w:val="001063C7"/>
    <w:rsid w:val="00110307"/>
    <w:rsid w:val="0011219D"/>
    <w:rsid w:val="001146B2"/>
    <w:rsid w:val="00115784"/>
    <w:rsid w:val="00115EF9"/>
    <w:rsid w:val="0011612E"/>
    <w:rsid w:val="001172A2"/>
    <w:rsid w:val="00120D2D"/>
    <w:rsid w:val="00122A54"/>
    <w:rsid w:val="00122B2B"/>
    <w:rsid w:val="00124FF3"/>
    <w:rsid w:val="001253F1"/>
    <w:rsid w:val="00126FBC"/>
    <w:rsid w:val="0012720C"/>
    <w:rsid w:val="00132BB6"/>
    <w:rsid w:val="001334E7"/>
    <w:rsid w:val="00135478"/>
    <w:rsid w:val="00137817"/>
    <w:rsid w:val="001413EA"/>
    <w:rsid w:val="00143EEE"/>
    <w:rsid w:val="0014449F"/>
    <w:rsid w:val="00145CD2"/>
    <w:rsid w:val="001463B4"/>
    <w:rsid w:val="0015063A"/>
    <w:rsid w:val="001527AF"/>
    <w:rsid w:val="00152881"/>
    <w:rsid w:val="00153465"/>
    <w:rsid w:val="0015349E"/>
    <w:rsid w:val="00153552"/>
    <w:rsid w:val="00153AA4"/>
    <w:rsid w:val="00154F6B"/>
    <w:rsid w:val="00156FED"/>
    <w:rsid w:val="001575D3"/>
    <w:rsid w:val="0015765D"/>
    <w:rsid w:val="001606EB"/>
    <w:rsid w:val="001647E4"/>
    <w:rsid w:val="00164A3B"/>
    <w:rsid w:val="001658BF"/>
    <w:rsid w:val="00166477"/>
    <w:rsid w:val="00166D17"/>
    <w:rsid w:val="001676B4"/>
    <w:rsid w:val="00167ACE"/>
    <w:rsid w:val="00167E91"/>
    <w:rsid w:val="00170FC8"/>
    <w:rsid w:val="00173FD4"/>
    <w:rsid w:val="00174A64"/>
    <w:rsid w:val="00176037"/>
    <w:rsid w:val="00176158"/>
    <w:rsid w:val="00177E3E"/>
    <w:rsid w:val="00181176"/>
    <w:rsid w:val="00181261"/>
    <w:rsid w:val="00181724"/>
    <w:rsid w:val="00181D84"/>
    <w:rsid w:val="001837ED"/>
    <w:rsid w:val="00183895"/>
    <w:rsid w:val="00183D43"/>
    <w:rsid w:val="00184984"/>
    <w:rsid w:val="00186309"/>
    <w:rsid w:val="0018652A"/>
    <w:rsid w:val="00186777"/>
    <w:rsid w:val="00190F3A"/>
    <w:rsid w:val="0019164E"/>
    <w:rsid w:val="00191BC0"/>
    <w:rsid w:val="00192546"/>
    <w:rsid w:val="00192AB1"/>
    <w:rsid w:val="00193167"/>
    <w:rsid w:val="001957ED"/>
    <w:rsid w:val="00196322"/>
    <w:rsid w:val="00196362"/>
    <w:rsid w:val="00196DDB"/>
    <w:rsid w:val="001974F2"/>
    <w:rsid w:val="00197E89"/>
    <w:rsid w:val="00197E9C"/>
    <w:rsid w:val="00197FB8"/>
    <w:rsid w:val="001A2940"/>
    <w:rsid w:val="001A3AE7"/>
    <w:rsid w:val="001A42E9"/>
    <w:rsid w:val="001A5C34"/>
    <w:rsid w:val="001A7892"/>
    <w:rsid w:val="001B0891"/>
    <w:rsid w:val="001B106A"/>
    <w:rsid w:val="001B2467"/>
    <w:rsid w:val="001B4580"/>
    <w:rsid w:val="001B4A4B"/>
    <w:rsid w:val="001B5072"/>
    <w:rsid w:val="001B5FC0"/>
    <w:rsid w:val="001B6378"/>
    <w:rsid w:val="001B6F9B"/>
    <w:rsid w:val="001B7056"/>
    <w:rsid w:val="001B7D84"/>
    <w:rsid w:val="001C1273"/>
    <w:rsid w:val="001C14B9"/>
    <w:rsid w:val="001C28E6"/>
    <w:rsid w:val="001C721E"/>
    <w:rsid w:val="001D029F"/>
    <w:rsid w:val="001D096D"/>
    <w:rsid w:val="001D0FEE"/>
    <w:rsid w:val="001D1DFA"/>
    <w:rsid w:val="001D3B19"/>
    <w:rsid w:val="001D43B4"/>
    <w:rsid w:val="001D4B6D"/>
    <w:rsid w:val="001D50CD"/>
    <w:rsid w:val="001D5A19"/>
    <w:rsid w:val="001D67E7"/>
    <w:rsid w:val="001D79B8"/>
    <w:rsid w:val="001E1341"/>
    <w:rsid w:val="001E2947"/>
    <w:rsid w:val="001E3F44"/>
    <w:rsid w:val="001E59A2"/>
    <w:rsid w:val="001E6C67"/>
    <w:rsid w:val="001E73F0"/>
    <w:rsid w:val="001F0116"/>
    <w:rsid w:val="001F0C95"/>
    <w:rsid w:val="001F34EC"/>
    <w:rsid w:val="001F38E6"/>
    <w:rsid w:val="001F3AFD"/>
    <w:rsid w:val="002000F2"/>
    <w:rsid w:val="00200468"/>
    <w:rsid w:val="002008BC"/>
    <w:rsid w:val="00200CB5"/>
    <w:rsid w:val="00200DA9"/>
    <w:rsid w:val="00201913"/>
    <w:rsid w:val="00202188"/>
    <w:rsid w:val="00202191"/>
    <w:rsid w:val="002027CE"/>
    <w:rsid w:val="00202D5C"/>
    <w:rsid w:val="00203383"/>
    <w:rsid w:val="00203D21"/>
    <w:rsid w:val="002053C4"/>
    <w:rsid w:val="002063FB"/>
    <w:rsid w:val="00207727"/>
    <w:rsid w:val="00207DA2"/>
    <w:rsid w:val="00207FCA"/>
    <w:rsid w:val="00210212"/>
    <w:rsid w:val="002106F7"/>
    <w:rsid w:val="00211163"/>
    <w:rsid w:val="00211E0A"/>
    <w:rsid w:val="00212281"/>
    <w:rsid w:val="00212913"/>
    <w:rsid w:val="00213C7C"/>
    <w:rsid w:val="00215093"/>
    <w:rsid w:val="00215D45"/>
    <w:rsid w:val="002171D9"/>
    <w:rsid w:val="002200E8"/>
    <w:rsid w:val="00220E0A"/>
    <w:rsid w:val="00221636"/>
    <w:rsid w:val="002231D2"/>
    <w:rsid w:val="0022441D"/>
    <w:rsid w:val="002255D9"/>
    <w:rsid w:val="0022599B"/>
    <w:rsid w:val="00226FFE"/>
    <w:rsid w:val="002279F3"/>
    <w:rsid w:val="00227BA1"/>
    <w:rsid w:val="0023267C"/>
    <w:rsid w:val="00232F61"/>
    <w:rsid w:val="002338FD"/>
    <w:rsid w:val="00233E94"/>
    <w:rsid w:val="00242686"/>
    <w:rsid w:val="00243B7C"/>
    <w:rsid w:val="00244045"/>
    <w:rsid w:val="00245878"/>
    <w:rsid w:val="002461E1"/>
    <w:rsid w:val="00246FC0"/>
    <w:rsid w:val="00247CA1"/>
    <w:rsid w:val="002511B5"/>
    <w:rsid w:val="002526A9"/>
    <w:rsid w:val="00254F02"/>
    <w:rsid w:val="00256A1F"/>
    <w:rsid w:val="0026040F"/>
    <w:rsid w:val="00260C10"/>
    <w:rsid w:val="002616C0"/>
    <w:rsid w:val="00262036"/>
    <w:rsid w:val="00263B0D"/>
    <w:rsid w:val="00264799"/>
    <w:rsid w:val="00265F47"/>
    <w:rsid w:val="002678C7"/>
    <w:rsid w:val="00271E10"/>
    <w:rsid w:val="0027204B"/>
    <w:rsid w:val="002761F7"/>
    <w:rsid w:val="002773D1"/>
    <w:rsid w:val="002778F2"/>
    <w:rsid w:val="00277F86"/>
    <w:rsid w:val="002807D1"/>
    <w:rsid w:val="00280CF7"/>
    <w:rsid w:val="00283317"/>
    <w:rsid w:val="00283336"/>
    <w:rsid w:val="002837A8"/>
    <w:rsid w:val="002846F2"/>
    <w:rsid w:val="00285C4E"/>
    <w:rsid w:val="002864F6"/>
    <w:rsid w:val="0028706E"/>
    <w:rsid w:val="002922EC"/>
    <w:rsid w:val="002928C0"/>
    <w:rsid w:val="0029713F"/>
    <w:rsid w:val="00297E4F"/>
    <w:rsid w:val="002A1165"/>
    <w:rsid w:val="002A3295"/>
    <w:rsid w:val="002A34A2"/>
    <w:rsid w:val="002A3A1A"/>
    <w:rsid w:val="002A421D"/>
    <w:rsid w:val="002A47FA"/>
    <w:rsid w:val="002A5D63"/>
    <w:rsid w:val="002A5E7A"/>
    <w:rsid w:val="002A667A"/>
    <w:rsid w:val="002B07C3"/>
    <w:rsid w:val="002B2E76"/>
    <w:rsid w:val="002B370E"/>
    <w:rsid w:val="002B4270"/>
    <w:rsid w:val="002B5F69"/>
    <w:rsid w:val="002B6879"/>
    <w:rsid w:val="002B6E47"/>
    <w:rsid w:val="002B77EB"/>
    <w:rsid w:val="002B7E99"/>
    <w:rsid w:val="002C02D0"/>
    <w:rsid w:val="002C17AA"/>
    <w:rsid w:val="002C19C8"/>
    <w:rsid w:val="002C1EC1"/>
    <w:rsid w:val="002C2212"/>
    <w:rsid w:val="002C2A89"/>
    <w:rsid w:val="002C3777"/>
    <w:rsid w:val="002C437D"/>
    <w:rsid w:val="002C441F"/>
    <w:rsid w:val="002C56BE"/>
    <w:rsid w:val="002C6BB6"/>
    <w:rsid w:val="002C792F"/>
    <w:rsid w:val="002D090E"/>
    <w:rsid w:val="002D1B38"/>
    <w:rsid w:val="002D1D34"/>
    <w:rsid w:val="002D4745"/>
    <w:rsid w:val="002E083B"/>
    <w:rsid w:val="002E48DA"/>
    <w:rsid w:val="002E4A44"/>
    <w:rsid w:val="002E6A87"/>
    <w:rsid w:val="002E7D29"/>
    <w:rsid w:val="002F0370"/>
    <w:rsid w:val="002F1B02"/>
    <w:rsid w:val="002F2BA5"/>
    <w:rsid w:val="002F3F51"/>
    <w:rsid w:val="002F43C9"/>
    <w:rsid w:val="002F4DA6"/>
    <w:rsid w:val="002F703D"/>
    <w:rsid w:val="002F7145"/>
    <w:rsid w:val="002F7C6C"/>
    <w:rsid w:val="00301DFE"/>
    <w:rsid w:val="003027B4"/>
    <w:rsid w:val="00302F04"/>
    <w:rsid w:val="003034ED"/>
    <w:rsid w:val="00303B69"/>
    <w:rsid w:val="00303C4B"/>
    <w:rsid w:val="003051F1"/>
    <w:rsid w:val="00305CBB"/>
    <w:rsid w:val="00307C1B"/>
    <w:rsid w:val="003101E1"/>
    <w:rsid w:val="00310458"/>
    <w:rsid w:val="00311244"/>
    <w:rsid w:val="0031177C"/>
    <w:rsid w:val="0031191E"/>
    <w:rsid w:val="00313203"/>
    <w:rsid w:val="00313275"/>
    <w:rsid w:val="00313B67"/>
    <w:rsid w:val="0031499A"/>
    <w:rsid w:val="003155D5"/>
    <w:rsid w:val="00316299"/>
    <w:rsid w:val="003166A7"/>
    <w:rsid w:val="003209B4"/>
    <w:rsid w:val="00320B94"/>
    <w:rsid w:val="003218CE"/>
    <w:rsid w:val="00324286"/>
    <w:rsid w:val="00324CA0"/>
    <w:rsid w:val="00326CE6"/>
    <w:rsid w:val="00330C57"/>
    <w:rsid w:val="00330E38"/>
    <w:rsid w:val="00332C7A"/>
    <w:rsid w:val="00332E42"/>
    <w:rsid w:val="0033400E"/>
    <w:rsid w:val="00334DF2"/>
    <w:rsid w:val="00336D03"/>
    <w:rsid w:val="00340B62"/>
    <w:rsid w:val="003410DE"/>
    <w:rsid w:val="00342B2D"/>
    <w:rsid w:val="00343FD2"/>
    <w:rsid w:val="003444C8"/>
    <w:rsid w:val="00344894"/>
    <w:rsid w:val="00345CBD"/>
    <w:rsid w:val="00346C49"/>
    <w:rsid w:val="00351325"/>
    <w:rsid w:val="003516A1"/>
    <w:rsid w:val="00351F87"/>
    <w:rsid w:val="00356822"/>
    <w:rsid w:val="00356CA4"/>
    <w:rsid w:val="00356D98"/>
    <w:rsid w:val="003570B9"/>
    <w:rsid w:val="00357D48"/>
    <w:rsid w:val="00360198"/>
    <w:rsid w:val="00364109"/>
    <w:rsid w:val="00370159"/>
    <w:rsid w:val="0037081D"/>
    <w:rsid w:val="003710E0"/>
    <w:rsid w:val="0037113B"/>
    <w:rsid w:val="00371246"/>
    <w:rsid w:val="00371DDD"/>
    <w:rsid w:val="00371E12"/>
    <w:rsid w:val="003725BD"/>
    <w:rsid w:val="00372CE2"/>
    <w:rsid w:val="003756F3"/>
    <w:rsid w:val="003767A1"/>
    <w:rsid w:val="0037749B"/>
    <w:rsid w:val="00377C1D"/>
    <w:rsid w:val="003801B9"/>
    <w:rsid w:val="0038076E"/>
    <w:rsid w:val="00381932"/>
    <w:rsid w:val="003829E0"/>
    <w:rsid w:val="00383490"/>
    <w:rsid w:val="00383EFB"/>
    <w:rsid w:val="00386732"/>
    <w:rsid w:val="00386A57"/>
    <w:rsid w:val="00387286"/>
    <w:rsid w:val="00390426"/>
    <w:rsid w:val="00390E2A"/>
    <w:rsid w:val="00392332"/>
    <w:rsid w:val="0039484C"/>
    <w:rsid w:val="00394FB1"/>
    <w:rsid w:val="00395B95"/>
    <w:rsid w:val="00395DB7"/>
    <w:rsid w:val="003A06D0"/>
    <w:rsid w:val="003A07B8"/>
    <w:rsid w:val="003A14B4"/>
    <w:rsid w:val="003A2BDC"/>
    <w:rsid w:val="003A2FDB"/>
    <w:rsid w:val="003A34EA"/>
    <w:rsid w:val="003A3713"/>
    <w:rsid w:val="003A512E"/>
    <w:rsid w:val="003A6958"/>
    <w:rsid w:val="003A7672"/>
    <w:rsid w:val="003A7E02"/>
    <w:rsid w:val="003B00C3"/>
    <w:rsid w:val="003B0DAD"/>
    <w:rsid w:val="003B0E24"/>
    <w:rsid w:val="003B26D1"/>
    <w:rsid w:val="003B29E4"/>
    <w:rsid w:val="003B2B98"/>
    <w:rsid w:val="003B30B1"/>
    <w:rsid w:val="003B4288"/>
    <w:rsid w:val="003B68F2"/>
    <w:rsid w:val="003C09AA"/>
    <w:rsid w:val="003C22DC"/>
    <w:rsid w:val="003C296B"/>
    <w:rsid w:val="003C2DF6"/>
    <w:rsid w:val="003C32A7"/>
    <w:rsid w:val="003C3F85"/>
    <w:rsid w:val="003C46E8"/>
    <w:rsid w:val="003C6293"/>
    <w:rsid w:val="003C6A32"/>
    <w:rsid w:val="003C7BFF"/>
    <w:rsid w:val="003D03B5"/>
    <w:rsid w:val="003D0F83"/>
    <w:rsid w:val="003D14C5"/>
    <w:rsid w:val="003D2696"/>
    <w:rsid w:val="003D29F5"/>
    <w:rsid w:val="003D3D3F"/>
    <w:rsid w:val="003D41BA"/>
    <w:rsid w:val="003D426A"/>
    <w:rsid w:val="003D554D"/>
    <w:rsid w:val="003D5B7E"/>
    <w:rsid w:val="003D6550"/>
    <w:rsid w:val="003D71BC"/>
    <w:rsid w:val="003E073A"/>
    <w:rsid w:val="003E2288"/>
    <w:rsid w:val="003E3070"/>
    <w:rsid w:val="003E31AB"/>
    <w:rsid w:val="003E4900"/>
    <w:rsid w:val="003E75FD"/>
    <w:rsid w:val="003F09F3"/>
    <w:rsid w:val="003F366F"/>
    <w:rsid w:val="003F3983"/>
    <w:rsid w:val="003F6BF7"/>
    <w:rsid w:val="003F70DD"/>
    <w:rsid w:val="0040002E"/>
    <w:rsid w:val="004016DC"/>
    <w:rsid w:val="00402B4E"/>
    <w:rsid w:val="004042C4"/>
    <w:rsid w:val="0040436D"/>
    <w:rsid w:val="00407597"/>
    <w:rsid w:val="00407C72"/>
    <w:rsid w:val="004104E7"/>
    <w:rsid w:val="00410B19"/>
    <w:rsid w:val="00411820"/>
    <w:rsid w:val="004120E6"/>
    <w:rsid w:val="0041264C"/>
    <w:rsid w:val="00414533"/>
    <w:rsid w:val="00414853"/>
    <w:rsid w:val="004161AB"/>
    <w:rsid w:val="00417F9F"/>
    <w:rsid w:val="00420021"/>
    <w:rsid w:val="00420B44"/>
    <w:rsid w:val="0042357B"/>
    <w:rsid w:val="0042399D"/>
    <w:rsid w:val="00425E7E"/>
    <w:rsid w:val="00430807"/>
    <w:rsid w:val="00431391"/>
    <w:rsid w:val="004315B3"/>
    <w:rsid w:val="0043195B"/>
    <w:rsid w:val="00431AB1"/>
    <w:rsid w:val="004324D9"/>
    <w:rsid w:val="00432729"/>
    <w:rsid w:val="00432747"/>
    <w:rsid w:val="004338BF"/>
    <w:rsid w:val="00434A95"/>
    <w:rsid w:val="00434D93"/>
    <w:rsid w:val="0043507A"/>
    <w:rsid w:val="00435442"/>
    <w:rsid w:val="00436B36"/>
    <w:rsid w:val="00436CF6"/>
    <w:rsid w:val="00437296"/>
    <w:rsid w:val="00440A54"/>
    <w:rsid w:val="00440DE7"/>
    <w:rsid w:val="00440EEF"/>
    <w:rsid w:val="004421CA"/>
    <w:rsid w:val="00443A5C"/>
    <w:rsid w:val="00444953"/>
    <w:rsid w:val="00444A76"/>
    <w:rsid w:val="0044582F"/>
    <w:rsid w:val="004471F3"/>
    <w:rsid w:val="004516EF"/>
    <w:rsid w:val="0045280C"/>
    <w:rsid w:val="00452F55"/>
    <w:rsid w:val="00453231"/>
    <w:rsid w:val="004535E2"/>
    <w:rsid w:val="00453C26"/>
    <w:rsid w:val="00455BD4"/>
    <w:rsid w:val="00456527"/>
    <w:rsid w:val="004567AD"/>
    <w:rsid w:val="00456E2C"/>
    <w:rsid w:val="00457B6A"/>
    <w:rsid w:val="00457E82"/>
    <w:rsid w:val="00461401"/>
    <w:rsid w:val="004633CB"/>
    <w:rsid w:val="004647CA"/>
    <w:rsid w:val="00465AEE"/>
    <w:rsid w:val="00466AB1"/>
    <w:rsid w:val="004673A3"/>
    <w:rsid w:val="00467DE4"/>
    <w:rsid w:val="004708B0"/>
    <w:rsid w:val="004714CA"/>
    <w:rsid w:val="004740CB"/>
    <w:rsid w:val="00474F5D"/>
    <w:rsid w:val="0047546E"/>
    <w:rsid w:val="00482578"/>
    <w:rsid w:val="0048488F"/>
    <w:rsid w:val="00485F04"/>
    <w:rsid w:val="00486661"/>
    <w:rsid w:val="00486E2E"/>
    <w:rsid w:val="004912CB"/>
    <w:rsid w:val="00491893"/>
    <w:rsid w:val="0049283E"/>
    <w:rsid w:val="00493403"/>
    <w:rsid w:val="00496ECA"/>
    <w:rsid w:val="004977A5"/>
    <w:rsid w:val="004A09B0"/>
    <w:rsid w:val="004A0BF2"/>
    <w:rsid w:val="004A2232"/>
    <w:rsid w:val="004A312E"/>
    <w:rsid w:val="004A40CA"/>
    <w:rsid w:val="004A7686"/>
    <w:rsid w:val="004A7D91"/>
    <w:rsid w:val="004B11AB"/>
    <w:rsid w:val="004B1C9C"/>
    <w:rsid w:val="004B3387"/>
    <w:rsid w:val="004B3F07"/>
    <w:rsid w:val="004B4DDD"/>
    <w:rsid w:val="004B4EB6"/>
    <w:rsid w:val="004B5C7B"/>
    <w:rsid w:val="004B5C96"/>
    <w:rsid w:val="004B5EFA"/>
    <w:rsid w:val="004B65C0"/>
    <w:rsid w:val="004C13F2"/>
    <w:rsid w:val="004C16CC"/>
    <w:rsid w:val="004C2A92"/>
    <w:rsid w:val="004C39A7"/>
    <w:rsid w:val="004C39F2"/>
    <w:rsid w:val="004C3B27"/>
    <w:rsid w:val="004C5738"/>
    <w:rsid w:val="004C643F"/>
    <w:rsid w:val="004C6FAF"/>
    <w:rsid w:val="004C72BB"/>
    <w:rsid w:val="004D13D7"/>
    <w:rsid w:val="004D1F06"/>
    <w:rsid w:val="004D62DF"/>
    <w:rsid w:val="004D6DB4"/>
    <w:rsid w:val="004D7AC5"/>
    <w:rsid w:val="004D7E25"/>
    <w:rsid w:val="004E14C0"/>
    <w:rsid w:val="004E481B"/>
    <w:rsid w:val="004E4C83"/>
    <w:rsid w:val="004E5FFA"/>
    <w:rsid w:val="004E7A7D"/>
    <w:rsid w:val="004F020C"/>
    <w:rsid w:val="004F1201"/>
    <w:rsid w:val="004F2625"/>
    <w:rsid w:val="004F2915"/>
    <w:rsid w:val="004F4088"/>
    <w:rsid w:val="004F766E"/>
    <w:rsid w:val="0050040C"/>
    <w:rsid w:val="00500B72"/>
    <w:rsid w:val="00502F84"/>
    <w:rsid w:val="00504203"/>
    <w:rsid w:val="00504B69"/>
    <w:rsid w:val="00505C7F"/>
    <w:rsid w:val="00505E0D"/>
    <w:rsid w:val="00507623"/>
    <w:rsid w:val="00507DA4"/>
    <w:rsid w:val="005100A1"/>
    <w:rsid w:val="0051137F"/>
    <w:rsid w:val="00511AF4"/>
    <w:rsid w:val="00512866"/>
    <w:rsid w:val="00512908"/>
    <w:rsid w:val="005129C5"/>
    <w:rsid w:val="00512B6F"/>
    <w:rsid w:val="00512C6B"/>
    <w:rsid w:val="00514D1B"/>
    <w:rsid w:val="00517C41"/>
    <w:rsid w:val="00520AD8"/>
    <w:rsid w:val="00520B35"/>
    <w:rsid w:val="00520DEB"/>
    <w:rsid w:val="00521C9D"/>
    <w:rsid w:val="00522CDD"/>
    <w:rsid w:val="00523881"/>
    <w:rsid w:val="0052438B"/>
    <w:rsid w:val="005243A3"/>
    <w:rsid w:val="00524C7B"/>
    <w:rsid w:val="00525791"/>
    <w:rsid w:val="005258BA"/>
    <w:rsid w:val="00526215"/>
    <w:rsid w:val="005271BD"/>
    <w:rsid w:val="00530538"/>
    <w:rsid w:val="00531225"/>
    <w:rsid w:val="00531B88"/>
    <w:rsid w:val="00531FD3"/>
    <w:rsid w:val="0053383C"/>
    <w:rsid w:val="005354A7"/>
    <w:rsid w:val="00540A42"/>
    <w:rsid w:val="00540B9E"/>
    <w:rsid w:val="005413DE"/>
    <w:rsid w:val="00541710"/>
    <w:rsid w:val="00543C99"/>
    <w:rsid w:val="005464BC"/>
    <w:rsid w:val="0055045E"/>
    <w:rsid w:val="00550BE3"/>
    <w:rsid w:val="00551F94"/>
    <w:rsid w:val="00552200"/>
    <w:rsid w:val="0055270F"/>
    <w:rsid w:val="0055294A"/>
    <w:rsid w:val="00552F87"/>
    <w:rsid w:val="005543AE"/>
    <w:rsid w:val="005551E3"/>
    <w:rsid w:val="00557158"/>
    <w:rsid w:val="005578C3"/>
    <w:rsid w:val="00557A8B"/>
    <w:rsid w:val="00560577"/>
    <w:rsid w:val="00561319"/>
    <w:rsid w:val="00561E0E"/>
    <w:rsid w:val="005636CC"/>
    <w:rsid w:val="005639A5"/>
    <w:rsid w:val="00564121"/>
    <w:rsid w:val="005654B6"/>
    <w:rsid w:val="00566988"/>
    <w:rsid w:val="00567612"/>
    <w:rsid w:val="00572A9D"/>
    <w:rsid w:val="00572EAE"/>
    <w:rsid w:val="005730EF"/>
    <w:rsid w:val="00574A43"/>
    <w:rsid w:val="00575536"/>
    <w:rsid w:val="0057648D"/>
    <w:rsid w:val="0057717D"/>
    <w:rsid w:val="005803FF"/>
    <w:rsid w:val="00580FC4"/>
    <w:rsid w:val="005826C2"/>
    <w:rsid w:val="00582A94"/>
    <w:rsid w:val="00583F34"/>
    <w:rsid w:val="00584F04"/>
    <w:rsid w:val="0058506F"/>
    <w:rsid w:val="0058596D"/>
    <w:rsid w:val="00585F64"/>
    <w:rsid w:val="005863C1"/>
    <w:rsid w:val="005868FD"/>
    <w:rsid w:val="00586FBB"/>
    <w:rsid w:val="00587611"/>
    <w:rsid w:val="00587E56"/>
    <w:rsid w:val="00590EBB"/>
    <w:rsid w:val="00591A05"/>
    <w:rsid w:val="00591A98"/>
    <w:rsid w:val="00593414"/>
    <w:rsid w:val="005938EE"/>
    <w:rsid w:val="00597634"/>
    <w:rsid w:val="00597AB0"/>
    <w:rsid w:val="00597B37"/>
    <w:rsid w:val="005A063B"/>
    <w:rsid w:val="005A06FE"/>
    <w:rsid w:val="005A0D2B"/>
    <w:rsid w:val="005A1C42"/>
    <w:rsid w:val="005A28C3"/>
    <w:rsid w:val="005A37A5"/>
    <w:rsid w:val="005A4F9F"/>
    <w:rsid w:val="005A6429"/>
    <w:rsid w:val="005A6910"/>
    <w:rsid w:val="005A74BE"/>
    <w:rsid w:val="005A7D08"/>
    <w:rsid w:val="005B04B0"/>
    <w:rsid w:val="005B293F"/>
    <w:rsid w:val="005B472D"/>
    <w:rsid w:val="005B57F1"/>
    <w:rsid w:val="005B6ABA"/>
    <w:rsid w:val="005B6B82"/>
    <w:rsid w:val="005B7198"/>
    <w:rsid w:val="005B732E"/>
    <w:rsid w:val="005B7BE2"/>
    <w:rsid w:val="005C0EF8"/>
    <w:rsid w:val="005C1866"/>
    <w:rsid w:val="005C2242"/>
    <w:rsid w:val="005C3253"/>
    <w:rsid w:val="005C3E20"/>
    <w:rsid w:val="005C4201"/>
    <w:rsid w:val="005C495D"/>
    <w:rsid w:val="005C6665"/>
    <w:rsid w:val="005C680C"/>
    <w:rsid w:val="005C6BE6"/>
    <w:rsid w:val="005C6E85"/>
    <w:rsid w:val="005D1A09"/>
    <w:rsid w:val="005D1CF5"/>
    <w:rsid w:val="005D1DCE"/>
    <w:rsid w:val="005D4205"/>
    <w:rsid w:val="005D4563"/>
    <w:rsid w:val="005E0A9C"/>
    <w:rsid w:val="005E10D5"/>
    <w:rsid w:val="005E18B4"/>
    <w:rsid w:val="005E1E76"/>
    <w:rsid w:val="005E5B44"/>
    <w:rsid w:val="005E65B0"/>
    <w:rsid w:val="005E6B0C"/>
    <w:rsid w:val="005E71DE"/>
    <w:rsid w:val="005E73FC"/>
    <w:rsid w:val="005F0FD1"/>
    <w:rsid w:val="005F2191"/>
    <w:rsid w:val="005F2490"/>
    <w:rsid w:val="005F3365"/>
    <w:rsid w:val="005F4110"/>
    <w:rsid w:val="005F507A"/>
    <w:rsid w:val="005F54CF"/>
    <w:rsid w:val="005F6E16"/>
    <w:rsid w:val="005F7025"/>
    <w:rsid w:val="006018B1"/>
    <w:rsid w:val="00601F69"/>
    <w:rsid w:val="0060280B"/>
    <w:rsid w:val="00604960"/>
    <w:rsid w:val="00605FA1"/>
    <w:rsid w:val="006062AB"/>
    <w:rsid w:val="006070EB"/>
    <w:rsid w:val="00607179"/>
    <w:rsid w:val="00610439"/>
    <w:rsid w:val="006112B2"/>
    <w:rsid w:val="006134CC"/>
    <w:rsid w:val="00614B97"/>
    <w:rsid w:val="00614E71"/>
    <w:rsid w:val="006154FA"/>
    <w:rsid w:val="006165E1"/>
    <w:rsid w:val="00617F5C"/>
    <w:rsid w:val="00617FA1"/>
    <w:rsid w:val="006206B4"/>
    <w:rsid w:val="00622E8A"/>
    <w:rsid w:val="006233DA"/>
    <w:rsid w:val="00623A4D"/>
    <w:rsid w:val="00625CDF"/>
    <w:rsid w:val="00626DB9"/>
    <w:rsid w:val="00630C59"/>
    <w:rsid w:val="00631DCC"/>
    <w:rsid w:val="00631EF3"/>
    <w:rsid w:val="006332B2"/>
    <w:rsid w:val="006357E2"/>
    <w:rsid w:val="00636855"/>
    <w:rsid w:val="00640023"/>
    <w:rsid w:val="00640040"/>
    <w:rsid w:val="00640501"/>
    <w:rsid w:val="0064105D"/>
    <w:rsid w:val="00641529"/>
    <w:rsid w:val="00642D14"/>
    <w:rsid w:val="00643513"/>
    <w:rsid w:val="0064392B"/>
    <w:rsid w:val="00644FDC"/>
    <w:rsid w:val="0064547B"/>
    <w:rsid w:val="006458AF"/>
    <w:rsid w:val="0064634F"/>
    <w:rsid w:val="00647140"/>
    <w:rsid w:val="00650F98"/>
    <w:rsid w:val="00651E57"/>
    <w:rsid w:val="006538E3"/>
    <w:rsid w:val="00653EE1"/>
    <w:rsid w:val="0065483C"/>
    <w:rsid w:val="006550E6"/>
    <w:rsid w:val="00657893"/>
    <w:rsid w:val="006604B4"/>
    <w:rsid w:val="0066077A"/>
    <w:rsid w:val="00660B37"/>
    <w:rsid w:val="006620DD"/>
    <w:rsid w:val="00663D47"/>
    <w:rsid w:val="006644B8"/>
    <w:rsid w:val="006646D2"/>
    <w:rsid w:val="00664747"/>
    <w:rsid w:val="00664E36"/>
    <w:rsid w:val="0067161C"/>
    <w:rsid w:val="0067185A"/>
    <w:rsid w:val="00673EC9"/>
    <w:rsid w:val="00674E13"/>
    <w:rsid w:val="00674E62"/>
    <w:rsid w:val="0067573D"/>
    <w:rsid w:val="0067653B"/>
    <w:rsid w:val="00681C0B"/>
    <w:rsid w:val="00682A6E"/>
    <w:rsid w:val="006874D5"/>
    <w:rsid w:val="00687E25"/>
    <w:rsid w:val="00691ACB"/>
    <w:rsid w:val="00694115"/>
    <w:rsid w:val="00695558"/>
    <w:rsid w:val="00697E2F"/>
    <w:rsid w:val="006A1232"/>
    <w:rsid w:val="006A1465"/>
    <w:rsid w:val="006A28E6"/>
    <w:rsid w:val="006A29C1"/>
    <w:rsid w:val="006A2DB8"/>
    <w:rsid w:val="006A44A5"/>
    <w:rsid w:val="006A4CC1"/>
    <w:rsid w:val="006A5C07"/>
    <w:rsid w:val="006A5D44"/>
    <w:rsid w:val="006A7D67"/>
    <w:rsid w:val="006B0ADC"/>
    <w:rsid w:val="006B4F80"/>
    <w:rsid w:val="006B5CC8"/>
    <w:rsid w:val="006C1B74"/>
    <w:rsid w:val="006C3BE6"/>
    <w:rsid w:val="006C40A1"/>
    <w:rsid w:val="006C58DD"/>
    <w:rsid w:val="006C606B"/>
    <w:rsid w:val="006C7323"/>
    <w:rsid w:val="006C7560"/>
    <w:rsid w:val="006D512F"/>
    <w:rsid w:val="006D7708"/>
    <w:rsid w:val="006D77EF"/>
    <w:rsid w:val="006E03EB"/>
    <w:rsid w:val="006E0B12"/>
    <w:rsid w:val="006E1469"/>
    <w:rsid w:val="006E1BBC"/>
    <w:rsid w:val="006E1F23"/>
    <w:rsid w:val="006E2557"/>
    <w:rsid w:val="006E2792"/>
    <w:rsid w:val="006E2EBB"/>
    <w:rsid w:val="006E3B86"/>
    <w:rsid w:val="006E4029"/>
    <w:rsid w:val="006E491C"/>
    <w:rsid w:val="006E5258"/>
    <w:rsid w:val="006F1D3C"/>
    <w:rsid w:val="006F1D6B"/>
    <w:rsid w:val="006F1DAC"/>
    <w:rsid w:val="006F1E65"/>
    <w:rsid w:val="006F2D9A"/>
    <w:rsid w:val="006F56E5"/>
    <w:rsid w:val="006F5788"/>
    <w:rsid w:val="006F6433"/>
    <w:rsid w:val="006F7C82"/>
    <w:rsid w:val="007001BD"/>
    <w:rsid w:val="007009F2"/>
    <w:rsid w:val="00702D04"/>
    <w:rsid w:val="00703695"/>
    <w:rsid w:val="00705354"/>
    <w:rsid w:val="0070605A"/>
    <w:rsid w:val="007079D7"/>
    <w:rsid w:val="00707E3C"/>
    <w:rsid w:val="007115B8"/>
    <w:rsid w:val="00712694"/>
    <w:rsid w:val="00712A1D"/>
    <w:rsid w:val="00712F1F"/>
    <w:rsid w:val="0071424D"/>
    <w:rsid w:val="00714874"/>
    <w:rsid w:val="00714FFD"/>
    <w:rsid w:val="007152B2"/>
    <w:rsid w:val="00716AA2"/>
    <w:rsid w:val="007174A3"/>
    <w:rsid w:val="00717AF7"/>
    <w:rsid w:val="00720354"/>
    <w:rsid w:val="00720E4D"/>
    <w:rsid w:val="007211E2"/>
    <w:rsid w:val="007217FC"/>
    <w:rsid w:val="00721EC0"/>
    <w:rsid w:val="00723C72"/>
    <w:rsid w:val="00724FB7"/>
    <w:rsid w:val="007257E8"/>
    <w:rsid w:val="0072649A"/>
    <w:rsid w:val="007302E3"/>
    <w:rsid w:val="007307C9"/>
    <w:rsid w:val="00730AE8"/>
    <w:rsid w:val="007326E6"/>
    <w:rsid w:val="0073446E"/>
    <w:rsid w:val="00736BB8"/>
    <w:rsid w:val="00737B09"/>
    <w:rsid w:val="00741676"/>
    <w:rsid w:val="00743C9C"/>
    <w:rsid w:val="0074415A"/>
    <w:rsid w:val="007458EA"/>
    <w:rsid w:val="00745D2F"/>
    <w:rsid w:val="00746BF4"/>
    <w:rsid w:val="00746DB1"/>
    <w:rsid w:val="00746ED6"/>
    <w:rsid w:val="00747253"/>
    <w:rsid w:val="007525DE"/>
    <w:rsid w:val="00752DB5"/>
    <w:rsid w:val="007538C1"/>
    <w:rsid w:val="007539B9"/>
    <w:rsid w:val="00754075"/>
    <w:rsid w:val="007545FA"/>
    <w:rsid w:val="007547E6"/>
    <w:rsid w:val="00755233"/>
    <w:rsid w:val="00755620"/>
    <w:rsid w:val="00755951"/>
    <w:rsid w:val="00755B72"/>
    <w:rsid w:val="00755CB2"/>
    <w:rsid w:val="00755E81"/>
    <w:rsid w:val="007623E1"/>
    <w:rsid w:val="00763E3D"/>
    <w:rsid w:val="007640AB"/>
    <w:rsid w:val="00764564"/>
    <w:rsid w:val="00764613"/>
    <w:rsid w:val="0076534D"/>
    <w:rsid w:val="00765F57"/>
    <w:rsid w:val="00770850"/>
    <w:rsid w:val="00771669"/>
    <w:rsid w:val="007716CA"/>
    <w:rsid w:val="00771A75"/>
    <w:rsid w:val="00771AD6"/>
    <w:rsid w:val="0077360D"/>
    <w:rsid w:val="00775926"/>
    <w:rsid w:val="0077616E"/>
    <w:rsid w:val="007779A1"/>
    <w:rsid w:val="00780243"/>
    <w:rsid w:val="00780426"/>
    <w:rsid w:val="00781E0D"/>
    <w:rsid w:val="00781F8E"/>
    <w:rsid w:val="00782561"/>
    <w:rsid w:val="007853FC"/>
    <w:rsid w:val="007878F9"/>
    <w:rsid w:val="00791B10"/>
    <w:rsid w:val="00793544"/>
    <w:rsid w:val="00794D64"/>
    <w:rsid w:val="0079786E"/>
    <w:rsid w:val="007A212D"/>
    <w:rsid w:val="007A30E1"/>
    <w:rsid w:val="007A48F3"/>
    <w:rsid w:val="007A50C1"/>
    <w:rsid w:val="007A5A1E"/>
    <w:rsid w:val="007A6B0E"/>
    <w:rsid w:val="007B02C2"/>
    <w:rsid w:val="007B0CF1"/>
    <w:rsid w:val="007B1037"/>
    <w:rsid w:val="007B2FCF"/>
    <w:rsid w:val="007B33FC"/>
    <w:rsid w:val="007B47C6"/>
    <w:rsid w:val="007B5405"/>
    <w:rsid w:val="007B60A0"/>
    <w:rsid w:val="007C0526"/>
    <w:rsid w:val="007C1933"/>
    <w:rsid w:val="007C274E"/>
    <w:rsid w:val="007C3311"/>
    <w:rsid w:val="007C4370"/>
    <w:rsid w:val="007C494E"/>
    <w:rsid w:val="007C5A38"/>
    <w:rsid w:val="007C5CCD"/>
    <w:rsid w:val="007C7297"/>
    <w:rsid w:val="007D12CC"/>
    <w:rsid w:val="007D1407"/>
    <w:rsid w:val="007D1530"/>
    <w:rsid w:val="007D1A8E"/>
    <w:rsid w:val="007D3267"/>
    <w:rsid w:val="007D45FD"/>
    <w:rsid w:val="007D533A"/>
    <w:rsid w:val="007D5E1E"/>
    <w:rsid w:val="007E324D"/>
    <w:rsid w:val="007E3AC7"/>
    <w:rsid w:val="007E3E37"/>
    <w:rsid w:val="007E3E75"/>
    <w:rsid w:val="007E52E1"/>
    <w:rsid w:val="007E725A"/>
    <w:rsid w:val="007F13E5"/>
    <w:rsid w:val="007F2CBE"/>
    <w:rsid w:val="007F32CE"/>
    <w:rsid w:val="007F33BE"/>
    <w:rsid w:val="007F3669"/>
    <w:rsid w:val="007F56DF"/>
    <w:rsid w:val="007F766C"/>
    <w:rsid w:val="007F7FB9"/>
    <w:rsid w:val="00800B78"/>
    <w:rsid w:val="008012DB"/>
    <w:rsid w:val="00801B0D"/>
    <w:rsid w:val="008023EE"/>
    <w:rsid w:val="00803E0F"/>
    <w:rsid w:val="00803E76"/>
    <w:rsid w:val="0080430A"/>
    <w:rsid w:val="00804F8F"/>
    <w:rsid w:val="00805D9C"/>
    <w:rsid w:val="0080641C"/>
    <w:rsid w:val="008103E8"/>
    <w:rsid w:val="008109BE"/>
    <w:rsid w:val="008130E6"/>
    <w:rsid w:val="00813EF4"/>
    <w:rsid w:val="00814821"/>
    <w:rsid w:val="00814F25"/>
    <w:rsid w:val="00815906"/>
    <w:rsid w:val="008167BC"/>
    <w:rsid w:val="00816E9D"/>
    <w:rsid w:val="00817777"/>
    <w:rsid w:val="00817D3C"/>
    <w:rsid w:val="00822BC8"/>
    <w:rsid w:val="0082531F"/>
    <w:rsid w:val="00825984"/>
    <w:rsid w:val="0082716F"/>
    <w:rsid w:val="00830154"/>
    <w:rsid w:val="00830D93"/>
    <w:rsid w:val="00830E67"/>
    <w:rsid w:val="00830F3C"/>
    <w:rsid w:val="00831A8C"/>
    <w:rsid w:val="00832204"/>
    <w:rsid w:val="00833B5E"/>
    <w:rsid w:val="00833C30"/>
    <w:rsid w:val="00834161"/>
    <w:rsid w:val="00835B73"/>
    <w:rsid w:val="00835CE8"/>
    <w:rsid w:val="008364C1"/>
    <w:rsid w:val="0083713A"/>
    <w:rsid w:val="00837AFB"/>
    <w:rsid w:val="0084077F"/>
    <w:rsid w:val="00840C59"/>
    <w:rsid w:val="00843ED3"/>
    <w:rsid w:val="00844B5E"/>
    <w:rsid w:val="008459B1"/>
    <w:rsid w:val="00846099"/>
    <w:rsid w:val="00846971"/>
    <w:rsid w:val="00847F2A"/>
    <w:rsid w:val="008503B7"/>
    <w:rsid w:val="008503EB"/>
    <w:rsid w:val="00850908"/>
    <w:rsid w:val="008543A2"/>
    <w:rsid w:val="008577D1"/>
    <w:rsid w:val="008609B8"/>
    <w:rsid w:val="00860EAB"/>
    <w:rsid w:val="00861333"/>
    <w:rsid w:val="0086245A"/>
    <w:rsid w:val="00863A0E"/>
    <w:rsid w:val="00863B49"/>
    <w:rsid w:val="00864F10"/>
    <w:rsid w:val="008652B6"/>
    <w:rsid w:val="008654BF"/>
    <w:rsid w:val="008659B4"/>
    <w:rsid w:val="00867341"/>
    <w:rsid w:val="00867440"/>
    <w:rsid w:val="00867785"/>
    <w:rsid w:val="00871069"/>
    <w:rsid w:val="00871299"/>
    <w:rsid w:val="008722CE"/>
    <w:rsid w:val="00872C27"/>
    <w:rsid w:val="008730A8"/>
    <w:rsid w:val="00873219"/>
    <w:rsid w:val="00874B0D"/>
    <w:rsid w:val="0087510C"/>
    <w:rsid w:val="008766BE"/>
    <w:rsid w:val="00877934"/>
    <w:rsid w:val="008817EB"/>
    <w:rsid w:val="00881D5C"/>
    <w:rsid w:val="0088287F"/>
    <w:rsid w:val="00883064"/>
    <w:rsid w:val="00883C8C"/>
    <w:rsid w:val="00883FF8"/>
    <w:rsid w:val="008844E9"/>
    <w:rsid w:val="00885105"/>
    <w:rsid w:val="00885456"/>
    <w:rsid w:val="0088597A"/>
    <w:rsid w:val="00885D44"/>
    <w:rsid w:val="00886C47"/>
    <w:rsid w:val="00890AF7"/>
    <w:rsid w:val="00890B6B"/>
    <w:rsid w:val="00891564"/>
    <w:rsid w:val="00891EFB"/>
    <w:rsid w:val="00892910"/>
    <w:rsid w:val="00892DB4"/>
    <w:rsid w:val="00892F45"/>
    <w:rsid w:val="0089377E"/>
    <w:rsid w:val="00894241"/>
    <w:rsid w:val="00894F3B"/>
    <w:rsid w:val="0089795A"/>
    <w:rsid w:val="00897967"/>
    <w:rsid w:val="00897A2E"/>
    <w:rsid w:val="00897C73"/>
    <w:rsid w:val="008A05D0"/>
    <w:rsid w:val="008A32E6"/>
    <w:rsid w:val="008A3760"/>
    <w:rsid w:val="008A4EBE"/>
    <w:rsid w:val="008A54FD"/>
    <w:rsid w:val="008A631A"/>
    <w:rsid w:val="008A6B01"/>
    <w:rsid w:val="008A7A56"/>
    <w:rsid w:val="008B1DF9"/>
    <w:rsid w:val="008B243D"/>
    <w:rsid w:val="008B5FA9"/>
    <w:rsid w:val="008C164F"/>
    <w:rsid w:val="008C17C9"/>
    <w:rsid w:val="008C2008"/>
    <w:rsid w:val="008C28E3"/>
    <w:rsid w:val="008C341D"/>
    <w:rsid w:val="008C4C2E"/>
    <w:rsid w:val="008C783C"/>
    <w:rsid w:val="008D57CC"/>
    <w:rsid w:val="008D5C65"/>
    <w:rsid w:val="008D6605"/>
    <w:rsid w:val="008E0123"/>
    <w:rsid w:val="008E13C5"/>
    <w:rsid w:val="008E1914"/>
    <w:rsid w:val="008E2F9C"/>
    <w:rsid w:val="008E3235"/>
    <w:rsid w:val="008E5B80"/>
    <w:rsid w:val="008E6C6E"/>
    <w:rsid w:val="008E7DD9"/>
    <w:rsid w:val="008F0CDE"/>
    <w:rsid w:val="008F183F"/>
    <w:rsid w:val="008F1DE7"/>
    <w:rsid w:val="008F2C65"/>
    <w:rsid w:val="008F33FE"/>
    <w:rsid w:val="008F34CB"/>
    <w:rsid w:val="008F3EE5"/>
    <w:rsid w:val="008F4117"/>
    <w:rsid w:val="008F4949"/>
    <w:rsid w:val="008F568B"/>
    <w:rsid w:val="008F58F7"/>
    <w:rsid w:val="00900038"/>
    <w:rsid w:val="00900D1E"/>
    <w:rsid w:val="00903EA7"/>
    <w:rsid w:val="009045D4"/>
    <w:rsid w:val="009051D7"/>
    <w:rsid w:val="00905B82"/>
    <w:rsid w:val="009068F9"/>
    <w:rsid w:val="009076AB"/>
    <w:rsid w:val="009115AC"/>
    <w:rsid w:val="00911A14"/>
    <w:rsid w:val="00917673"/>
    <w:rsid w:val="00917E40"/>
    <w:rsid w:val="0092091F"/>
    <w:rsid w:val="00921526"/>
    <w:rsid w:val="0092235C"/>
    <w:rsid w:val="009228C3"/>
    <w:rsid w:val="00922D04"/>
    <w:rsid w:val="00923078"/>
    <w:rsid w:val="0092327F"/>
    <w:rsid w:val="00923703"/>
    <w:rsid w:val="00923B98"/>
    <w:rsid w:val="00927584"/>
    <w:rsid w:val="00931053"/>
    <w:rsid w:val="00931C8D"/>
    <w:rsid w:val="00932E32"/>
    <w:rsid w:val="0093428D"/>
    <w:rsid w:val="00934623"/>
    <w:rsid w:val="00935E5A"/>
    <w:rsid w:val="00936799"/>
    <w:rsid w:val="00941067"/>
    <w:rsid w:val="0094128F"/>
    <w:rsid w:val="00942EE8"/>
    <w:rsid w:val="00944419"/>
    <w:rsid w:val="009455BB"/>
    <w:rsid w:val="0094611D"/>
    <w:rsid w:val="00950428"/>
    <w:rsid w:val="00952730"/>
    <w:rsid w:val="009553AF"/>
    <w:rsid w:val="009555A5"/>
    <w:rsid w:val="0096032C"/>
    <w:rsid w:val="00960330"/>
    <w:rsid w:val="00960F61"/>
    <w:rsid w:val="00962045"/>
    <w:rsid w:val="00962D0D"/>
    <w:rsid w:val="00962ECF"/>
    <w:rsid w:val="00964706"/>
    <w:rsid w:val="00964ED8"/>
    <w:rsid w:val="00966F76"/>
    <w:rsid w:val="00971C5B"/>
    <w:rsid w:val="00972C29"/>
    <w:rsid w:val="00972C34"/>
    <w:rsid w:val="00972D78"/>
    <w:rsid w:val="00973479"/>
    <w:rsid w:val="00974C4D"/>
    <w:rsid w:val="00975333"/>
    <w:rsid w:val="009777C5"/>
    <w:rsid w:val="009813D9"/>
    <w:rsid w:val="00982704"/>
    <w:rsid w:val="00982B41"/>
    <w:rsid w:val="00982BCB"/>
    <w:rsid w:val="00984B4C"/>
    <w:rsid w:val="00985FF8"/>
    <w:rsid w:val="009873C2"/>
    <w:rsid w:val="00990B9F"/>
    <w:rsid w:val="00990C71"/>
    <w:rsid w:val="00993491"/>
    <w:rsid w:val="00993942"/>
    <w:rsid w:val="00993BCF"/>
    <w:rsid w:val="00993E35"/>
    <w:rsid w:val="009A00F8"/>
    <w:rsid w:val="009A1586"/>
    <w:rsid w:val="009A1D3C"/>
    <w:rsid w:val="009A2DB4"/>
    <w:rsid w:val="009A3515"/>
    <w:rsid w:val="009A441A"/>
    <w:rsid w:val="009A5F32"/>
    <w:rsid w:val="009A6957"/>
    <w:rsid w:val="009A6E06"/>
    <w:rsid w:val="009B0E30"/>
    <w:rsid w:val="009B1C1B"/>
    <w:rsid w:val="009B3922"/>
    <w:rsid w:val="009B3B33"/>
    <w:rsid w:val="009B3E58"/>
    <w:rsid w:val="009B4846"/>
    <w:rsid w:val="009B51E5"/>
    <w:rsid w:val="009B5AA7"/>
    <w:rsid w:val="009B6303"/>
    <w:rsid w:val="009B68D6"/>
    <w:rsid w:val="009B7634"/>
    <w:rsid w:val="009B7EF1"/>
    <w:rsid w:val="009C0582"/>
    <w:rsid w:val="009C0C01"/>
    <w:rsid w:val="009C2048"/>
    <w:rsid w:val="009C274D"/>
    <w:rsid w:val="009C3935"/>
    <w:rsid w:val="009C4609"/>
    <w:rsid w:val="009C4B83"/>
    <w:rsid w:val="009C65BA"/>
    <w:rsid w:val="009C6832"/>
    <w:rsid w:val="009C6880"/>
    <w:rsid w:val="009C6E9C"/>
    <w:rsid w:val="009C72AD"/>
    <w:rsid w:val="009C72DE"/>
    <w:rsid w:val="009D0A25"/>
    <w:rsid w:val="009D262F"/>
    <w:rsid w:val="009D3899"/>
    <w:rsid w:val="009D50E4"/>
    <w:rsid w:val="009D63AB"/>
    <w:rsid w:val="009D78CF"/>
    <w:rsid w:val="009D7A87"/>
    <w:rsid w:val="009E12AE"/>
    <w:rsid w:val="009E1A95"/>
    <w:rsid w:val="009E1D78"/>
    <w:rsid w:val="009E2584"/>
    <w:rsid w:val="009E282E"/>
    <w:rsid w:val="009E4133"/>
    <w:rsid w:val="009E48E2"/>
    <w:rsid w:val="009E4E74"/>
    <w:rsid w:val="009E5296"/>
    <w:rsid w:val="009E71AE"/>
    <w:rsid w:val="009F1321"/>
    <w:rsid w:val="009F284D"/>
    <w:rsid w:val="009F56C9"/>
    <w:rsid w:val="009F70E6"/>
    <w:rsid w:val="009F7195"/>
    <w:rsid w:val="00A002BD"/>
    <w:rsid w:val="00A01A96"/>
    <w:rsid w:val="00A01FC4"/>
    <w:rsid w:val="00A02B4C"/>
    <w:rsid w:val="00A0685A"/>
    <w:rsid w:val="00A06A3B"/>
    <w:rsid w:val="00A06E8F"/>
    <w:rsid w:val="00A12419"/>
    <w:rsid w:val="00A12998"/>
    <w:rsid w:val="00A13D1B"/>
    <w:rsid w:val="00A14202"/>
    <w:rsid w:val="00A14808"/>
    <w:rsid w:val="00A15285"/>
    <w:rsid w:val="00A16C04"/>
    <w:rsid w:val="00A1751D"/>
    <w:rsid w:val="00A20365"/>
    <w:rsid w:val="00A2062C"/>
    <w:rsid w:val="00A20DE5"/>
    <w:rsid w:val="00A211A3"/>
    <w:rsid w:val="00A2203B"/>
    <w:rsid w:val="00A22D17"/>
    <w:rsid w:val="00A2331F"/>
    <w:rsid w:val="00A23B27"/>
    <w:rsid w:val="00A246F6"/>
    <w:rsid w:val="00A24CA8"/>
    <w:rsid w:val="00A25509"/>
    <w:rsid w:val="00A255E0"/>
    <w:rsid w:val="00A25A42"/>
    <w:rsid w:val="00A25AF4"/>
    <w:rsid w:val="00A2675F"/>
    <w:rsid w:val="00A2687F"/>
    <w:rsid w:val="00A27464"/>
    <w:rsid w:val="00A27A75"/>
    <w:rsid w:val="00A27B07"/>
    <w:rsid w:val="00A30BBE"/>
    <w:rsid w:val="00A3228C"/>
    <w:rsid w:val="00A32764"/>
    <w:rsid w:val="00A359A6"/>
    <w:rsid w:val="00A4041A"/>
    <w:rsid w:val="00A42BD4"/>
    <w:rsid w:val="00A43555"/>
    <w:rsid w:val="00A436AD"/>
    <w:rsid w:val="00A436D0"/>
    <w:rsid w:val="00A44429"/>
    <w:rsid w:val="00A44737"/>
    <w:rsid w:val="00A448DC"/>
    <w:rsid w:val="00A453B6"/>
    <w:rsid w:val="00A50F13"/>
    <w:rsid w:val="00A516B0"/>
    <w:rsid w:val="00A51A86"/>
    <w:rsid w:val="00A51D01"/>
    <w:rsid w:val="00A5220A"/>
    <w:rsid w:val="00A53596"/>
    <w:rsid w:val="00A537C0"/>
    <w:rsid w:val="00A54307"/>
    <w:rsid w:val="00A54575"/>
    <w:rsid w:val="00A54577"/>
    <w:rsid w:val="00A54659"/>
    <w:rsid w:val="00A55668"/>
    <w:rsid w:val="00A57B60"/>
    <w:rsid w:val="00A604A4"/>
    <w:rsid w:val="00A61D0A"/>
    <w:rsid w:val="00A6367E"/>
    <w:rsid w:val="00A63BF0"/>
    <w:rsid w:val="00A65281"/>
    <w:rsid w:val="00A65525"/>
    <w:rsid w:val="00A6582F"/>
    <w:rsid w:val="00A661D4"/>
    <w:rsid w:val="00A6650F"/>
    <w:rsid w:val="00A670C6"/>
    <w:rsid w:val="00A725B5"/>
    <w:rsid w:val="00A74B17"/>
    <w:rsid w:val="00A751B5"/>
    <w:rsid w:val="00A76A49"/>
    <w:rsid w:val="00A76CDE"/>
    <w:rsid w:val="00A76DB7"/>
    <w:rsid w:val="00A77B3B"/>
    <w:rsid w:val="00A803C7"/>
    <w:rsid w:val="00A81013"/>
    <w:rsid w:val="00A817E5"/>
    <w:rsid w:val="00A82707"/>
    <w:rsid w:val="00A83A7C"/>
    <w:rsid w:val="00A83AC2"/>
    <w:rsid w:val="00A84723"/>
    <w:rsid w:val="00A8499F"/>
    <w:rsid w:val="00A85CAB"/>
    <w:rsid w:val="00A868E6"/>
    <w:rsid w:val="00A87746"/>
    <w:rsid w:val="00A90C7C"/>
    <w:rsid w:val="00A90F54"/>
    <w:rsid w:val="00A94258"/>
    <w:rsid w:val="00A94C57"/>
    <w:rsid w:val="00A94E32"/>
    <w:rsid w:val="00A955CF"/>
    <w:rsid w:val="00A960EA"/>
    <w:rsid w:val="00A974EA"/>
    <w:rsid w:val="00AA0CC0"/>
    <w:rsid w:val="00AA1636"/>
    <w:rsid w:val="00AA2A55"/>
    <w:rsid w:val="00AA2F3F"/>
    <w:rsid w:val="00AA34BD"/>
    <w:rsid w:val="00AA3BD6"/>
    <w:rsid w:val="00AA3FD1"/>
    <w:rsid w:val="00AA448F"/>
    <w:rsid w:val="00AA45D4"/>
    <w:rsid w:val="00AA5A04"/>
    <w:rsid w:val="00AA5E58"/>
    <w:rsid w:val="00AA650D"/>
    <w:rsid w:val="00AA6830"/>
    <w:rsid w:val="00AA68ED"/>
    <w:rsid w:val="00AB1B0C"/>
    <w:rsid w:val="00AB65C1"/>
    <w:rsid w:val="00AB7C95"/>
    <w:rsid w:val="00AC00E0"/>
    <w:rsid w:val="00AC21F7"/>
    <w:rsid w:val="00AC253E"/>
    <w:rsid w:val="00AC2EE7"/>
    <w:rsid w:val="00AC486A"/>
    <w:rsid w:val="00AD02C8"/>
    <w:rsid w:val="00AD0733"/>
    <w:rsid w:val="00AD3A10"/>
    <w:rsid w:val="00AD4AF4"/>
    <w:rsid w:val="00AD66FB"/>
    <w:rsid w:val="00AD72D7"/>
    <w:rsid w:val="00AD75C6"/>
    <w:rsid w:val="00AD7613"/>
    <w:rsid w:val="00AD776C"/>
    <w:rsid w:val="00AE18F0"/>
    <w:rsid w:val="00AE2183"/>
    <w:rsid w:val="00AE2643"/>
    <w:rsid w:val="00AE2A93"/>
    <w:rsid w:val="00AE68DA"/>
    <w:rsid w:val="00AE7F2D"/>
    <w:rsid w:val="00AF00B8"/>
    <w:rsid w:val="00AF1971"/>
    <w:rsid w:val="00AF1FD7"/>
    <w:rsid w:val="00AF2C52"/>
    <w:rsid w:val="00AF3115"/>
    <w:rsid w:val="00AF3AE0"/>
    <w:rsid w:val="00AF530A"/>
    <w:rsid w:val="00AF5E81"/>
    <w:rsid w:val="00AF6811"/>
    <w:rsid w:val="00B00A83"/>
    <w:rsid w:val="00B01497"/>
    <w:rsid w:val="00B01765"/>
    <w:rsid w:val="00B04310"/>
    <w:rsid w:val="00B05355"/>
    <w:rsid w:val="00B06006"/>
    <w:rsid w:val="00B102AD"/>
    <w:rsid w:val="00B1194C"/>
    <w:rsid w:val="00B11B6A"/>
    <w:rsid w:val="00B12249"/>
    <w:rsid w:val="00B14954"/>
    <w:rsid w:val="00B14C22"/>
    <w:rsid w:val="00B14C7E"/>
    <w:rsid w:val="00B15846"/>
    <w:rsid w:val="00B1671E"/>
    <w:rsid w:val="00B17862"/>
    <w:rsid w:val="00B21152"/>
    <w:rsid w:val="00B21CF6"/>
    <w:rsid w:val="00B22D7A"/>
    <w:rsid w:val="00B22D8C"/>
    <w:rsid w:val="00B2493C"/>
    <w:rsid w:val="00B271A5"/>
    <w:rsid w:val="00B305F2"/>
    <w:rsid w:val="00B32F57"/>
    <w:rsid w:val="00B35767"/>
    <w:rsid w:val="00B369EC"/>
    <w:rsid w:val="00B36DD4"/>
    <w:rsid w:val="00B378F6"/>
    <w:rsid w:val="00B40171"/>
    <w:rsid w:val="00B402C4"/>
    <w:rsid w:val="00B403D8"/>
    <w:rsid w:val="00B4065F"/>
    <w:rsid w:val="00B42B7B"/>
    <w:rsid w:val="00B43FE6"/>
    <w:rsid w:val="00B46CDE"/>
    <w:rsid w:val="00B477E4"/>
    <w:rsid w:val="00B4781E"/>
    <w:rsid w:val="00B50635"/>
    <w:rsid w:val="00B526D6"/>
    <w:rsid w:val="00B5321D"/>
    <w:rsid w:val="00B532BB"/>
    <w:rsid w:val="00B53842"/>
    <w:rsid w:val="00B60FAD"/>
    <w:rsid w:val="00B6263C"/>
    <w:rsid w:val="00B630F2"/>
    <w:rsid w:val="00B67BBC"/>
    <w:rsid w:val="00B717DC"/>
    <w:rsid w:val="00B718EF"/>
    <w:rsid w:val="00B722D4"/>
    <w:rsid w:val="00B72F03"/>
    <w:rsid w:val="00B77C27"/>
    <w:rsid w:val="00B82224"/>
    <w:rsid w:val="00B83F9B"/>
    <w:rsid w:val="00B84036"/>
    <w:rsid w:val="00B84F73"/>
    <w:rsid w:val="00B851DF"/>
    <w:rsid w:val="00B860F7"/>
    <w:rsid w:val="00B8634E"/>
    <w:rsid w:val="00B86A95"/>
    <w:rsid w:val="00B86F03"/>
    <w:rsid w:val="00B872E4"/>
    <w:rsid w:val="00B8733F"/>
    <w:rsid w:val="00B905F9"/>
    <w:rsid w:val="00B9256C"/>
    <w:rsid w:val="00B92749"/>
    <w:rsid w:val="00B94636"/>
    <w:rsid w:val="00B94D01"/>
    <w:rsid w:val="00B96F1C"/>
    <w:rsid w:val="00B97229"/>
    <w:rsid w:val="00BA03D6"/>
    <w:rsid w:val="00BA04F8"/>
    <w:rsid w:val="00BA0E64"/>
    <w:rsid w:val="00BA10CE"/>
    <w:rsid w:val="00BA10EE"/>
    <w:rsid w:val="00BA2E00"/>
    <w:rsid w:val="00BA2FD7"/>
    <w:rsid w:val="00BA451B"/>
    <w:rsid w:val="00BA473F"/>
    <w:rsid w:val="00BA5119"/>
    <w:rsid w:val="00BA5198"/>
    <w:rsid w:val="00BA6D51"/>
    <w:rsid w:val="00BA7519"/>
    <w:rsid w:val="00BA7C73"/>
    <w:rsid w:val="00BB0550"/>
    <w:rsid w:val="00BB1B67"/>
    <w:rsid w:val="00BB2C8E"/>
    <w:rsid w:val="00BB5816"/>
    <w:rsid w:val="00BB5A36"/>
    <w:rsid w:val="00BB652C"/>
    <w:rsid w:val="00BB7BE5"/>
    <w:rsid w:val="00BC260B"/>
    <w:rsid w:val="00BC2B3B"/>
    <w:rsid w:val="00BC2CA8"/>
    <w:rsid w:val="00BC3478"/>
    <w:rsid w:val="00BC393A"/>
    <w:rsid w:val="00BC3F83"/>
    <w:rsid w:val="00BC4C87"/>
    <w:rsid w:val="00BC5924"/>
    <w:rsid w:val="00BC5ACB"/>
    <w:rsid w:val="00BC5D62"/>
    <w:rsid w:val="00BC5F06"/>
    <w:rsid w:val="00BC6FD0"/>
    <w:rsid w:val="00BC7575"/>
    <w:rsid w:val="00BD1D34"/>
    <w:rsid w:val="00BD2762"/>
    <w:rsid w:val="00BD3224"/>
    <w:rsid w:val="00BD38E0"/>
    <w:rsid w:val="00BD43E9"/>
    <w:rsid w:val="00BD4DB3"/>
    <w:rsid w:val="00BD7D5B"/>
    <w:rsid w:val="00BE23A8"/>
    <w:rsid w:val="00BE4050"/>
    <w:rsid w:val="00BE40E5"/>
    <w:rsid w:val="00BF04AE"/>
    <w:rsid w:val="00BF2F24"/>
    <w:rsid w:val="00BF38DA"/>
    <w:rsid w:val="00BF4355"/>
    <w:rsid w:val="00BF5F68"/>
    <w:rsid w:val="00BF76CE"/>
    <w:rsid w:val="00BF7A99"/>
    <w:rsid w:val="00C000D8"/>
    <w:rsid w:val="00C023AD"/>
    <w:rsid w:val="00C02E20"/>
    <w:rsid w:val="00C03323"/>
    <w:rsid w:val="00C03AB8"/>
    <w:rsid w:val="00C0496D"/>
    <w:rsid w:val="00C057DC"/>
    <w:rsid w:val="00C07DF2"/>
    <w:rsid w:val="00C1052E"/>
    <w:rsid w:val="00C13D53"/>
    <w:rsid w:val="00C13F23"/>
    <w:rsid w:val="00C156B3"/>
    <w:rsid w:val="00C16505"/>
    <w:rsid w:val="00C20F75"/>
    <w:rsid w:val="00C211C2"/>
    <w:rsid w:val="00C220D4"/>
    <w:rsid w:val="00C220D6"/>
    <w:rsid w:val="00C247CB"/>
    <w:rsid w:val="00C268BD"/>
    <w:rsid w:val="00C269A4"/>
    <w:rsid w:val="00C26B15"/>
    <w:rsid w:val="00C30322"/>
    <w:rsid w:val="00C308A1"/>
    <w:rsid w:val="00C3205E"/>
    <w:rsid w:val="00C3261B"/>
    <w:rsid w:val="00C327CD"/>
    <w:rsid w:val="00C32B4E"/>
    <w:rsid w:val="00C33494"/>
    <w:rsid w:val="00C33D21"/>
    <w:rsid w:val="00C34E6B"/>
    <w:rsid w:val="00C356A0"/>
    <w:rsid w:val="00C365DF"/>
    <w:rsid w:val="00C3716A"/>
    <w:rsid w:val="00C378D5"/>
    <w:rsid w:val="00C413CC"/>
    <w:rsid w:val="00C41712"/>
    <w:rsid w:val="00C43ED7"/>
    <w:rsid w:val="00C44C8B"/>
    <w:rsid w:val="00C4510A"/>
    <w:rsid w:val="00C45954"/>
    <w:rsid w:val="00C46418"/>
    <w:rsid w:val="00C46A11"/>
    <w:rsid w:val="00C50238"/>
    <w:rsid w:val="00C516EE"/>
    <w:rsid w:val="00C522D5"/>
    <w:rsid w:val="00C52551"/>
    <w:rsid w:val="00C52D3F"/>
    <w:rsid w:val="00C5568A"/>
    <w:rsid w:val="00C5623C"/>
    <w:rsid w:val="00C564B7"/>
    <w:rsid w:val="00C57280"/>
    <w:rsid w:val="00C57BA3"/>
    <w:rsid w:val="00C57C2F"/>
    <w:rsid w:val="00C61EC0"/>
    <w:rsid w:val="00C6239F"/>
    <w:rsid w:val="00C62A5C"/>
    <w:rsid w:val="00C65CFA"/>
    <w:rsid w:val="00C701F7"/>
    <w:rsid w:val="00C7063F"/>
    <w:rsid w:val="00C70946"/>
    <w:rsid w:val="00C70F5A"/>
    <w:rsid w:val="00C71487"/>
    <w:rsid w:val="00C721D9"/>
    <w:rsid w:val="00C7324E"/>
    <w:rsid w:val="00C738C9"/>
    <w:rsid w:val="00C73E06"/>
    <w:rsid w:val="00C74D32"/>
    <w:rsid w:val="00C766CE"/>
    <w:rsid w:val="00C76E45"/>
    <w:rsid w:val="00C772EF"/>
    <w:rsid w:val="00C8155B"/>
    <w:rsid w:val="00C8164C"/>
    <w:rsid w:val="00C82989"/>
    <w:rsid w:val="00C82E01"/>
    <w:rsid w:val="00C83D50"/>
    <w:rsid w:val="00C843FD"/>
    <w:rsid w:val="00C87F04"/>
    <w:rsid w:val="00C90537"/>
    <w:rsid w:val="00C930B7"/>
    <w:rsid w:val="00C93FAB"/>
    <w:rsid w:val="00C94BBA"/>
    <w:rsid w:val="00C94DF4"/>
    <w:rsid w:val="00C9557B"/>
    <w:rsid w:val="00C97486"/>
    <w:rsid w:val="00CA0582"/>
    <w:rsid w:val="00CA0EF4"/>
    <w:rsid w:val="00CA1AEA"/>
    <w:rsid w:val="00CA2770"/>
    <w:rsid w:val="00CA2E39"/>
    <w:rsid w:val="00CA368B"/>
    <w:rsid w:val="00CA3B3B"/>
    <w:rsid w:val="00CA46FF"/>
    <w:rsid w:val="00CA6152"/>
    <w:rsid w:val="00CA6D18"/>
    <w:rsid w:val="00CA6FB6"/>
    <w:rsid w:val="00CA7731"/>
    <w:rsid w:val="00CB07A1"/>
    <w:rsid w:val="00CB0CF5"/>
    <w:rsid w:val="00CB0E99"/>
    <w:rsid w:val="00CB2A6A"/>
    <w:rsid w:val="00CB2C48"/>
    <w:rsid w:val="00CB2D48"/>
    <w:rsid w:val="00CB4DE3"/>
    <w:rsid w:val="00CB4EE5"/>
    <w:rsid w:val="00CB6E27"/>
    <w:rsid w:val="00CC0700"/>
    <w:rsid w:val="00CC3F06"/>
    <w:rsid w:val="00CC43DD"/>
    <w:rsid w:val="00CC5686"/>
    <w:rsid w:val="00CC5715"/>
    <w:rsid w:val="00CD12CC"/>
    <w:rsid w:val="00CD139E"/>
    <w:rsid w:val="00CD1D41"/>
    <w:rsid w:val="00CD27D2"/>
    <w:rsid w:val="00CD353C"/>
    <w:rsid w:val="00CD3824"/>
    <w:rsid w:val="00CD4ADA"/>
    <w:rsid w:val="00CD590F"/>
    <w:rsid w:val="00CD7C42"/>
    <w:rsid w:val="00CE0221"/>
    <w:rsid w:val="00CE0362"/>
    <w:rsid w:val="00CE1258"/>
    <w:rsid w:val="00CE13C5"/>
    <w:rsid w:val="00CE2204"/>
    <w:rsid w:val="00CE51E8"/>
    <w:rsid w:val="00CE5691"/>
    <w:rsid w:val="00CE5873"/>
    <w:rsid w:val="00CE67E4"/>
    <w:rsid w:val="00CE7779"/>
    <w:rsid w:val="00CF0837"/>
    <w:rsid w:val="00CF15B6"/>
    <w:rsid w:val="00CF1EF4"/>
    <w:rsid w:val="00CF2345"/>
    <w:rsid w:val="00CF23F7"/>
    <w:rsid w:val="00CF5C5E"/>
    <w:rsid w:val="00CF5F9A"/>
    <w:rsid w:val="00CF7356"/>
    <w:rsid w:val="00D00FA2"/>
    <w:rsid w:val="00D014C4"/>
    <w:rsid w:val="00D04227"/>
    <w:rsid w:val="00D044E7"/>
    <w:rsid w:val="00D05447"/>
    <w:rsid w:val="00D05785"/>
    <w:rsid w:val="00D0692F"/>
    <w:rsid w:val="00D0733F"/>
    <w:rsid w:val="00D0792B"/>
    <w:rsid w:val="00D07B59"/>
    <w:rsid w:val="00D106DC"/>
    <w:rsid w:val="00D10D37"/>
    <w:rsid w:val="00D1106F"/>
    <w:rsid w:val="00D12953"/>
    <w:rsid w:val="00D14BA3"/>
    <w:rsid w:val="00D1577C"/>
    <w:rsid w:val="00D1663F"/>
    <w:rsid w:val="00D237C8"/>
    <w:rsid w:val="00D24247"/>
    <w:rsid w:val="00D26B07"/>
    <w:rsid w:val="00D26F1A"/>
    <w:rsid w:val="00D30BC0"/>
    <w:rsid w:val="00D31CA8"/>
    <w:rsid w:val="00D3305A"/>
    <w:rsid w:val="00D3342C"/>
    <w:rsid w:val="00D34EAF"/>
    <w:rsid w:val="00D3688E"/>
    <w:rsid w:val="00D368BF"/>
    <w:rsid w:val="00D370F1"/>
    <w:rsid w:val="00D37196"/>
    <w:rsid w:val="00D37234"/>
    <w:rsid w:val="00D37E83"/>
    <w:rsid w:val="00D40FBB"/>
    <w:rsid w:val="00D4215D"/>
    <w:rsid w:val="00D43224"/>
    <w:rsid w:val="00D436EC"/>
    <w:rsid w:val="00D44475"/>
    <w:rsid w:val="00D457A9"/>
    <w:rsid w:val="00D45DD8"/>
    <w:rsid w:val="00D45FFF"/>
    <w:rsid w:val="00D4752C"/>
    <w:rsid w:val="00D47F86"/>
    <w:rsid w:val="00D51126"/>
    <w:rsid w:val="00D5203A"/>
    <w:rsid w:val="00D5213E"/>
    <w:rsid w:val="00D53009"/>
    <w:rsid w:val="00D542E0"/>
    <w:rsid w:val="00D567F3"/>
    <w:rsid w:val="00D61AB2"/>
    <w:rsid w:val="00D63ACC"/>
    <w:rsid w:val="00D64A5B"/>
    <w:rsid w:val="00D65229"/>
    <w:rsid w:val="00D653FA"/>
    <w:rsid w:val="00D65E51"/>
    <w:rsid w:val="00D666B6"/>
    <w:rsid w:val="00D67519"/>
    <w:rsid w:val="00D67A0D"/>
    <w:rsid w:val="00D71110"/>
    <w:rsid w:val="00D7116E"/>
    <w:rsid w:val="00D71BAC"/>
    <w:rsid w:val="00D7241C"/>
    <w:rsid w:val="00D726CD"/>
    <w:rsid w:val="00D72B3F"/>
    <w:rsid w:val="00D7416D"/>
    <w:rsid w:val="00D74309"/>
    <w:rsid w:val="00D757F0"/>
    <w:rsid w:val="00D76B47"/>
    <w:rsid w:val="00D8214C"/>
    <w:rsid w:val="00D835A0"/>
    <w:rsid w:val="00D84BB0"/>
    <w:rsid w:val="00D84E9B"/>
    <w:rsid w:val="00D850C9"/>
    <w:rsid w:val="00D8655C"/>
    <w:rsid w:val="00D90688"/>
    <w:rsid w:val="00D920CE"/>
    <w:rsid w:val="00D923EC"/>
    <w:rsid w:val="00D925C5"/>
    <w:rsid w:val="00D92FEE"/>
    <w:rsid w:val="00D932AE"/>
    <w:rsid w:val="00D96591"/>
    <w:rsid w:val="00D96FF5"/>
    <w:rsid w:val="00D974A5"/>
    <w:rsid w:val="00DA013A"/>
    <w:rsid w:val="00DA07C5"/>
    <w:rsid w:val="00DA2EF2"/>
    <w:rsid w:val="00DA390A"/>
    <w:rsid w:val="00DA48A2"/>
    <w:rsid w:val="00DA51C5"/>
    <w:rsid w:val="00DA5F95"/>
    <w:rsid w:val="00DA7260"/>
    <w:rsid w:val="00DA743F"/>
    <w:rsid w:val="00DB1153"/>
    <w:rsid w:val="00DB11E9"/>
    <w:rsid w:val="00DB2613"/>
    <w:rsid w:val="00DB3F0B"/>
    <w:rsid w:val="00DB50EC"/>
    <w:rsid w:val="00DB5D4D"/>
    <w:rsid w:val="00DB6F0D"/>
    <w:rsid w:val="00DB73D2"/>
    <w:rsid w:val="00DB7740"/>
    <w:rsid w:val="00DB780F"/>
    <w:rsid w:val="00DB7C92"/>
    <w:rsid w:val="00DC047F"/>
    <w:rsid w:val="00DC0FA5"/>
    <w:rsid w:val="00DC18DE"/>
    <w:rsid w:val="00DC21F9"/>
    <w:rsid w:val="00DC39F2"/>
    <w:rsid w:val="00DC5260"/>
    <w:rsid w:val="00DC6CD8"/>
    <w:rsid w:val="00DC6E9D"/>
    <w:rsid w:val="00DC7334"/>
    <w:rsid w:val="00DD27C4"/>
    <w:rsid w:val="00DD3122"/>
    <w:rsid w:val="00DD32AA"/>
    <w:rsid w:val="00DD354D"/>
    <w:rsid w:val="00DD4B0E"/>
    <w:rsid w:val="00DD6668"/>
    <w:rsid w:val="00DE04FA"/>
    <w:rsid w:val="00DE5A42"/>
    <w:rsid w:val="00DE662D"/>
    <w:rsid w:val="00DE6AAF"/>
    <w:rsid w:val="00DE7621"/>
    <w:rsid w:val="00DF0338"/>
    <w:rsid w:val="00DF1D80"/>
    <w:rsid w:val="00DF1DC7"/>
    <w:rsid w:val="00DF292D"/>
    <w:rsid w:val="00DF2B99"/>
    <w:rsid w:val="00DF32F6"/>
    <w:rsid w:val="00DF3740"/>
    <w:rsid w:val="00DF505D"/>
    <w:rsid w:val="00DF51E7"/>
    <w:rsid w:val="00DF5314"/>
    <w:rsid w:val="00DF6DA9"/>
    <w:rsid w:val="00E000E9"/>
    <w:rsid w:val="00E00B98"/>
    <w:rsid w:val="00E00EBF"/>
    <w:rsid w:val="00E0201E"/>
    <w:rsid w:val="00E02D87"/>
    <w:rsid w:val="00E06D3F"/>
    <w:rsid w:val="00E07324"/>
    <w:rsid w:val="00E079E7"/>
    <w:rsid w:val="00E07FD9"/>
    <w:rsid w:val="00E11B30"/>
    <w:rsid w:val="00E11C48"/>
    <w:rsid w:val="00E124B7"/>
    <w:rsid w:val="00E13264"/>
    <w:rsid w:val="00E1376C"/>
    <w:rsid w:val="00E13961"/>
    <w:rsid w:val="00E164F2"/>
    <w:rsid w:val="00E16507"/>
    <w:rsid w:val="00E166EE"/>
    <w:rsid w:val="00E16B43"/>
    <w:rsid w:val="00E16D3F"/>
    <w:rsid w:val="00E17225"/>
    <w:rsid w:val="00E178BC"/>
    <w:rsid w:val="00E211C3"/>
    <w:rsid w:val="00E223DC"/>
    <w:rsid w:val="00E22753"/>
    <w:rsid w:val="00E22C1F"/>
    <w:rsid w:val="00E236A9"/>
    <w:rsid w:val="00E23835"/>
    <w:rsid w:val="00E2389D"/>
    <w:rsid w:val="00E23A10"/>
    <w:rsid w:val="00E24BDF"/>
    <w:rsid w:val="00E272EC"/>
    <w:rsid w:val="00E30DFB"/>
    <w:rsid w:val="00E31F1A"/>
    <w:rsid w:val="00E321E2"/>
    <w:rsid w:val="00E32409"/>
    <w:rsid w:val="00E32720"/>
    <w:rsid w:val="00E329D5"/>
    <w:rsid w:val="00E366F6"/>
    <w:rsid w:val="00E36DAE"/>
    <w:rsid w:val="00E4122C"/>
    <w:rsid w:val="00E418A8"/>
    <w:rsid w:val="00E4386F"/>
    <w:rsid w:val="00E44D08"/>
    <w:rsid w:val="00E4528D"/>
    <w:rsid w:val="00E45327"/>
    <w:rsid w:val="00E457F1"/>
    <w:rsid w:val="00E45A9A"/>
    <w:rsid w:val="00E46F79"/>
    <w:rsid w:val="00E47F89"/>
    <w:rsid w:val="00E507C1"/>
    <w:rsid w:val="00E54C95"/>
    <w:rsid w:val="00E555CF"/>
    <w:rsid w:val="00E605A6"/>
    <w:rsid w:val="00E60731"/>
    <w:rsid w:val="00E60E54"/>
    <w:rsid w:val="00E62582"/>
    <w:rsid w:val="00E63D58"/>
    <w:rsid w:val="00E649A6"/>
    <w:rsid w:val="00E66938"/>
    <w:rsid w:val="00E704FA"/>
    <w:rsid w:val="00E713CB"/>
    <w:rsid w:val="00E72150"/>
    <w:rsid w:val="00E724B4"/>
    <w:rsid w:val="00E72AFF"/>
    <w:rsid w:val="00E733F1"/>
    <w:rsid w:val="00E74FE4"/>
    <w:rsid w:val="00E777CB"/>
    <w:rsid w:val="00E81A27"/>
    <w:rsid w:val="00E838BF"/>
    <w:rsid w:val="00E8457B"/>
    <w:rsid w:val="00E85404"/>
    <w:rsid w:val="00E864D2"/>
    <w:rsid w:val="00E86913"/>
    <w:rsid w:val="00E90834"/>
    <w:rsid w:val="00E960CE"/>
    <w:rsid w:val="00E96698"/>
    <w:rsid w:val="00E96AEF"/>
    <w:rsid w:val="00E96F78"/>
    <w:rsid w:val="00EA14CB"/>
    <w:rsid w:val="00EA15A0"/>
    <w:rsid w:val="00EA2257"/>
    <w:rsid w:val="00EA7CDA"/>
    <w:rsid w:val="00EB0993"/>
    <w:rsid w:val="00EB09F4"/>
    <w:rsid w:val="00EB0CF6"/>
    <w:rsid w:val="00EB14E0"/>
    <w:rsid w:val="00EB1FFF"/>
    <w:rsid w:val="00EB278C"/>
    <w:rsid w:val="00EB44B1"/>
    <w:rsid w:val="00EB489F"/>
    <w:rsid w:val="00EB4BFB"/>
    <w:rsid w:val="00EB50AF"/>
    <w:rsid w:val="00EB687B"/>
    <w:rsid w:val="00EB6BED"/>
    <w:rsid w:val="00EC0A77"/>
    <w:rsid w:val="00EC3613"/>
    <w:rsid w:val="00EC36E2"/>
    <w:rsid w:val="00EC39FE"/>
    <w:rsid w:val="00EC441A"/>
    <w:rsid w:val="00EC4BAE"/>
    <w:rsid w:val="00EC538F"/>
    <w:rsid w:val="00ED191B"/>
    <w:rsid w:val="00ED322B"/>
    <w:rsid w:val="00ED3933"/>
    <w:rsid w:val="00ED3F16"/>
    <w:rsid w:val="00ED5248"/>
    <w:rsid w:val="00ED67C7"/>
    <w:rsid w:val="00ED7461"/>
    <w:rsid w:val="00ED746F"/>
    <w:rsid w:val="00ED799F"/>
    <w:rsid w:val="00EE07B8"/>
    <w:rsid w:val="00EE1BFA"/>
    <w:rsid w:val="00EE2C78"/>
    <w:rsid w:val="00EE2D9C"/>
    <w:rsid w:val="00EE34F1"/>
    <w:rsid w:val="00EE5499"/>
    <w:rsid w:val="00EE6485"/>
    <w:rsid w:val="00EE6E94"/>
    <w:rsid w:val="00EE71B2"/>
    <w:rsid w:val="00EE796F"/>
    <w:rsid w:val="00EF012D"/>
    <w:rsid w:val="00EF0856"/>
    <w:rsid w:val="00EF11A8"/>
    <w:rsid w:val="00EF1690"/>
    <w:rsid w:val="00EF2023"/>
    <w:rsid w:val="00EF21FD"/>
    <w:rsid w:val="00EF2680"/>
    <w:rsid w:val="00EF31AD"/>
    <w:rsid w:val="00EF40FF"/>
    <w:rsid w:val="00EF4358"/>
    <w:rsid w:val="00EF515F"/>
    <w:rsid w:val="00EF7EF8"/>
    <w:rsid w:val="00F001BD"/>
    <w:rsid w:val="00F0037B"/>
    <w:rsid w:val="00F01971"/>
    <w:rsid w:val="00F02579"/>
    <w:rsid w:val="00F027D7"/>
    <w:rsid w:val="00F032FB"/>
    <w:rsid w:val="00F0568F"/>
    <w:rsid w:val="00F063D0"/>
    <w:rsid w:val="00F10CA5"/>
    <w:rsid w:val="00F119E2"/>
    <w:rsid w:val="00F12B87"/>
    <w:rsid w:val="00F14111"/>
    <w:rsid w:val="00F14607"/>
    <w:rsid w:val="00F15175"/>
    <w:rsid w:val="00F1547A"/>
    <w:rsid w:val="00F1556C"/>
    <w:rsid w:val="00F15665"/>
    <w:rsid w:val="00F16626"/>
    <w:rsid w:val="00F169E2"/>
    <w:rsid w:val="00F1719B"/>
    <w:rsid w:val="00F20326"/>
    <w:rsid w:val="00F20BE4"/>
    <w:rsid w:val="00F21574"/>
    <w:rsid w:val="00F22954"/>
    <w:rsid w:val="00F2322F"/>
    <w:rsid w:val="00F23473"/>
    <w:rsid w:val="00F24D05"/>
    <w:rsid w:val="00F25BCF"/>
    <w:rsid w:val="00F26815"/>
    <w:rsid w:val="00F2747F"/>
    <w:rsid w:val="00F27709"/>
    <w:rsid w:val="00F27A35"/>
    <w:rsid w:val="00F30085"/>
    <w:rsid w:val="00F300D9"/>
    <w:rsid w:val="00F30C16"/>
    <w:rsid w:val="00F314F6"/>
    <w:rsid w:val="00F33541"/>
    <w:rsid w:val="00F34C5A"/>
    <w:rsid w:val="00F3624B"/>
    <w:rsid w:val="00F37036"/>
    <w:rsid w:val="00F378F6"/>
    <w:rsid w:val="00F41621"/>
    <w:rsid w:val="00F4171A"/>
    <w:rsid w:val="00F428DD"/>
    <w:rsid w:val="00F42E60"/>
    <w:rsid w:val="00F431AF"/>
    <w:rsid w:val="00F434EB"/>
    <w:rsid w:val="00F437F5"/>
    <w:rsid w:val="00F44C4E"/>
    <w:rsid w:val="00F44C6E"/>
    <w:rsid w:val="00F451FE"/>
    <w:rsid w:val="00F45472"/>
    <w:rsid w:val="00F458B6"/>
    <w:rsid w:val="00F4639D"/>
    <w:rsid w:val="00F47028"/>
    <w:rsid w:val="00F5060F"/>
    <w:rsid w:val="00F5106D"/>
    <w:rsid w:val="00F517A3"/>
    <w:rsid w:val="00F522B6"/>
    <w:rsid w:val="00F523AE"/>
    <w:rsid w:val="00F541A3"/>
    <w:rsid w:val="00F549E6"/>
    <w:rsid w:val="00F55799"/>
    <w:rsid w:val="00F55F49"/>
    <w:rsid w:val="00F55F80"/>
    <w:rsid w:val="00F55FEF"/>
    <w:rsid w:val="00F56EBC"/>
    <w:rsid w:val="00F60FAE"/>
    <w:rsid w:val="00F62775"/>
    <w:rsid w:val="00F62C00"/>
    <w:rsid w:val="00F64473"/>
    <w:rsid w:val="00F718D3"/>
    <w:rsid w:val="00F743D9"/>
    <w:rsid w:val="00F75E87"/>
    <w:rsid w:val="00F80C3C"/>
    <w:rsid w:val="00F86BE2"/>
    <w:rsid w:val="00F8701E"/>
    <w:rsid w:val="00F90AC5"/>
    <w:rsid w:val="00F90E75"/>
    <w:rsid w:val="00F91509"/>
    <w:rsid w:val="00F91D9E"/>
    <w:rsid w:val="00F92871"/>
    <w:rsid w:val="00F9471B"/>
    <w:rsid w:val="00FA0A62"/>
    <w:rsid w:val="00FA0A77"/>
    <w:rsid w:val="00FA2130"/>
    <w:rsid w:val="00FA2179"/>
    <w:rsid w:val="00FA299C"/>
    <w:rsid w:val="00FA3E6A"/>
    <w:rsid w:val="00FA464C"/>
    <w:rsid w:val="00FA59FA"/>
    <w:rsid w:val="00FA63D0"/>
    <w:rsid w:val="00FA6BC2"/>
    <w:rsid w:val="00FA72F7"/>
    <w:rsid w:val="00FA75C4"/>
    <w:rsid w:val="00FB4557"/>
    <w:rsid w:val="00FB511F"/>
    <w:rsid w:val="00FB5BBE"/>
    <w:rsid w:val="00FB647B"/>
    <w:rsid w:val="00FB6922"/>
    <w:rsid w:val="00FB701D"/>
    <w:rsid w:val="00FB75AB"/>
    <w:rsid w:val="00FB77DA"/>
    <w:rsid w:val="00FB7BF3"/>
    <w:rsid w:val="00FC0315"/>
    <w:rsid w:val="00FC1963"/>
    <w:rsid w:val="00FC197F"/>
    <w:rsid w:val="00FC2356"/>
    <w:rsid w:val="00FC296B"/>
    <w:rsid w:val="00FC2B64"/>
    <w:rsid w:val="00FC350F"/>
    <w:rsid w:val="00FC3567"/>
    <w:rsid w:val="00FC387E"/>
    <w:rsid w:val="00FC3C08"/>
    <w:rsid w:val="00FC44AF"/>
    <w:rsid w:val="00FC4EE2"/>
    <w:rsid w:val="00FC574D"/>
    <w:rsid w:val="00FC7384"/>
    <w:rsid w:val="00FC7FE7"/>
    <w:rsid w:val="00FD0173"/>
    <w:rsid w:val="00FD13E9"/>
    <w:rsid w:val="00FD2C54"/>
    <w:rsid w:val="00FD3251"/>
    <w:rsid w:val="00FD42F2"/>
    <w:rsid w:val="00FD4F6B"/>
    <w:rsid w:val="00FD56B1"/>
    <w:rsid w:val="00FD72B9"/>
    <w:rsid w:val="00FD75E1"/>
    <w:rsid w:val="00FE14A3"/>
    <w:rsid w:val="00FE1E65"/>
    <w:rsid w:val="00FE2D76"/>
    <w:rsid w:val="00FE772A"/>
    <w:rsid w:val="00FE77BB"/>
    <w:rsid w:val="00FF069C"/>
    <w:rsid w:val="00FF09A6"/>
    <w:rsid w:val="00FF1458"/>
    <w:rsid w:val="00FF1EF5"/>
    <w:rsid w:val="00FF2580"/>
    <w:rsid w:val="00FF3248"/>
    <w:rsid w:val="00FF3577"/>
    <w:rsid w:val="00FF48DB"/>
    <w:rsid w:val="00FF5306"/>
    <w:rsid w:val="015A7B53"/>
    <w:rsid w:val="01C23E75"/>
    <w:rsid w:val="01FD75F1"/>
    <w:rsid w:val="021B26BC"/>
    <w:rsid w:val="023B3103"/>
    <w:rsid w:val="027F7041"/>
    <w:rsid w:val="031151A8"/>
    <w:rsid w:val="03874C3C"/>
    <w:rsid w:val="0478233B"/>
    <w:rsid w:val="04AE5BE1"/>
    <w:rsid w:val="05615516"/>
    <w:rsid w:val="05A679C8"/>
    <w:rsid w:val="064F6599"/>
    <w:rsid w:val="068B19C4"/>
    <w:rsid w:val="07041164"/>
    <w:rsid w:val="073547CA"/>
    <w:rsid w:val="078215E2"/>
    <w:rsid w:val="07857018"/>
    <w:rsid w:val="07BE7D0A"/>
    <w:rsid w:val="07D44BC4"/>
    <w:rsid w:val="07E5217D"/>
    <w:rsid w:val="07EE1021"/>
    <w:rsid w:val="08AD13F4"/>
    <w:rsid w:val="09010936"/>
    <w:rsid w:val="091F0465"/>
    <w:rsid w:val="094C3091"/>
    <w:rsid w:val="095702D4"/>
    <w:rsid w:val="0A8B3420"/>
    <w:rsid w:val="0A8D1C5F"/>
    <w:rsid w:val="0A9D2A74"/>
    <w:rsid w:val="0A9F2911"/>
    <w:rsid w:val="0A9F359C"/>
    <w:rsid w:val="0AF62658"/>
    <w:rsid w:val="0B9A7C3A"/>
    <w:rsid w:val="0BA95234"/>
    <w:rsid w:val="0BC65EB1"/>
    <w:rsid w:val="0BCD6D24"/>
    <w:rsid w:val="0C711ABA"/>
    <w:rsid w:val="0C8F042E"/>
    <w:rsid w:val="0D1C13AE"/>
    <w:rsid w:val="0D1C29B3"/>
    <w:rsid w:val="0D2260AF"/>
    <w:rsid w:val="0D7004F9"/>
    <w:rsid w:val="0E245572"/>
    <w:rsid w:val="0E5A7F81"/>
    <w:rsid w:val="0E7229E7"/>
    <w:rsid w:val="0E851B37"/>
    <w:rsid w:val="0EAB0EBB"/>
    <w:rsid w:val="0F6F0DB2"/>
    <w:rsid w:val="0F813BBA"/>
    <w:rsid w:val="0F867DD1"/>
    <w:rsid w:val="0FE345FA"/>
    <w:rsid w:val="1050285E"/>
    <w:rsid w:val="106E5F40"/>
    <w:rsid w:val="1184221E"/>
    <w:rsid w:val="11EC4955"/>
    <w:rsid w:val="121747A2"/>
    <w:rsid w:val="12221B1C"/>
    <w:rsid w:val="123229F1"/>
    <w:rsid w:val="12AC1C09"/>
    <w:rsid w:val="132D2A5A"/>
    <w:rsid w:val="134615B4"/>
    <w:rsid w:val="13DB2017"/>
    <w:rsid w:val="14D42F31"/>
    <w:rsid w:val="15C11529"/>
    <w:rsid w:val="15C30C81"/>
    <w:rsid w:val="16660CAF"/>
    <w:rsid w:val="16666FEE"/>
    <w:rsid w:val="16A83D62"/>
    <w:rsid w:val="16FB1728"/>
    <w:rsid w:val="17977074"/>
    <w:rsid w:val="189734E9"/>
    <w:rsid w:val="18A454FE"/>
    <w:rsid w:val="18B73883"/>
    <w:rsid w:val="18B83F12"/>
    <w:rsid w:val="194C46B9"/>
    <w:rsid w:val="19A47136"/>
    <w:rsid w:val="19D006EB"/>
    <w:rsid w:val="1A247E36"/>
    <w:rsid w:val="1A591209"/>
    <w:rsid w:val="1A8D64E9"/>
    <w:rsid w:val="1A9C4D85"/>
    <w:rsid w:val="1AA97869"/>
    <w:rsid w:val="1ABE749A"/>
    <w:rsid w:val="1C4A08E9"/>
    <w:rsid w:val="1D177D65"/>
    <w:rsid w:val="1D281AF2"/>
    <w:rsid w:val="1E257850"/>
    <w:rsid w:val="1E316128"/>
    <w:rsid w:val="1E7D4769"/>
    <w:rsid w:val="1E8361FC"/>
    <w:rsid w:val="1E9A1110"/>
    <w:rsid w:val="1F0E2D18"/>
    <w:rsid w:val="1FF77AD6"/>
    <w:rsid w:val="1FFD1FA9"/>
    <w:rsid w:val="2005331E"/>
    <w:rsid w:val="20C02E9C"/>
    <w:rsid w:val="212924A3"/>
    <w:rsid w:val="21317249"/>
    <w:rsid w:val="216177C9"/>
    <w:rsid w:val="21CC268F"/>
    <w:rsid w:val="21D50301"/>
    <w:rsid w:val="22BF7416"/>
    <w:rsid w:val="25555F9F"/>
    <w:rsid w:val="268F6EFF"/>
    <w:rsid w:val="26C51C3A"/>
    <w:rsid w:val="27490CB1"/>
    <w:rsid w:val="27E30142"/>
    <w:rsid w:val="28341664"/>
    <w:rsid w:val="28EE3895"/>
    <w:rsid w:val="295F3E26"/>
    <w:rsid w:val="2A20787A"/>
    <w:rsid w:val="2A594CDA"/>
    <w:rsid w:val="2A9D0161"/>
    <w:rsid w:val="2AB92391"/>
    <w:rsid w:val="2B67555D"/>
    <w:rsid w:val="2B6D017E"/>
    <w:rsid w:val="2B8D5713"/>
    <w:rsid w:val="2BE27B3B"/>
    <w:rsid w:val="2BEE4A32"/>
    <w:rsid w:val="2C715418"/>
    <w:rsid w:val="2CD25304"/>
    <w:rsid w:val="2CE24273"/>
    <w:rsid w:val="2CE40F04"/>
    <w:rsid w:val="2D060371"/>
    <w:rsid w:val="2D805DF6"/>
    <w:rsid w:val="2DB2617B"/>
    <w:rsid w:val="2E8564D3"/>
    <w:rsid w:val="2ED96314"/>
    <w:rsid w:val="2EF41EC2"/>
    <w:rsid w:val="2F6270F0"/>
    <w:rsid w:val="302428A0"/>
    <w:rsid w:val="308734FE"/>
    <w:rsid w:val="316100BA"/>
    <w:rsid w:val="31B51923"/>
    <w:rsid w:val="32562A54"/>
    <w:rsid w:val="32C525C3"/>
    <w:rsid w:val="330711EC"/>
    <w:rsid w:val="332923F1"/>
    <w:rsid w:val="33914763"/>
    <w:rsid w:val="33B05B4E"/>
    <w:rsid w:val="33FD417D"/>
    <w:rsid w:val="34040540"/>
    <w:rsid w:val="34907E46"/>
    <w:rsid w:val="34BB51B1"/>
    <w:rsid w:val="34DB630B"/>
    <w:rsid w:val="350805C6"/>
    <w:rsid w:val="353E3114"/>
    <w:rsid w:val="35434D5C"/>
    <w:rsid w:val="35836ACB"/>
    <w:rsid w:val="35C02BB5"/>
    <w:rsid w:val="35CC48F0"/>
    <w:rsid w:val="35CD4130"/>
    <w:rsid w:val="366717C3"/>
    <w:rsid w:val="36FD2322"/>
    <w:rsid w:val="3725428D"/>
    <w:rsid w:val="37301C65"/>
    <w:rsid w:val="375F2D0A"/>
    <w:rsid w:val="37B85BAB"/>
    <w:rsid w:val="38656C53"/>
    <w:rsid w:val="39433A76"/>
    <w:rsid w:val="39866273"/>
    <w:rsid w:val="399E5C7C"/>
    <w:rsid w:val="3A3C3D8C"/>
    <w:rsid w:val="3AA9549D"/>
    <w:rsid w:val="3ACA631C"/>
    <w:rsid w:val="3B4E14F1"/>
    <w:rsid w:val="3D026A46"/>
    <w:rsid w:val="3DA46D7B"/>
    <w:rsid w:val="3E0308A0"/>
    <w:rsid w:val="3FB21A24"/>
    <w:rsid w:val="4036385D"/>
    <w:rsid w:val="40804673"/>
    <w:rsid w:val="40AB2440"/>
    <w:rsid w:val="40EE7A7D"/>
    <w:rsid w:val="41047C46"/>
    <w:rsid w:val="411B61CB"/>
    <w:rsid w:val="412163A9"/>
    <w:rsid w:val="419041CD"/>
    <w:rsid w:val="4237045B"/>
    <w:rsid w:val="4240573C"/>
    <w:rsid w:val="426C1C27"/>
    <w:rsid w:val="426C7BD7"/>
    <w:rsid w:val="42D55A52"/>
    <w:rsid w:val="4350612C"/>
    <w:rsid w:val="4356499F"/>
    <w:rsid w:val="439F17B8"/>
    <w:rsid w:val="44453DDE"/>
    <w:rsid w:val="445C44CD"/>
    <w:rsid w:val="445E5768"/>
    <w:rsid w:val="44D745DF"/>
    <w:rsid w:val="44E774A3"/>
    <w:rsid w:val="450B0E3A"/>
    <w:rsid w:val="46045F86"/>
    <w:rsid w:val="4614374B"/>
    <w:rsid w:val="466744D8"/>
    <w:rsid w:val="46FA07FB"/>
    <w:rsid w:val="46FC26AB"/>
    <w:rsid w:val="473F4B49"/>
    <w:rsid w:val="486D45B7"/>
    <w:rsid w:val="48A46785"/>
    <w:rsid w:val="48B01D97"/>
    <w:rsid w:val="48C16875"/>
    <w:rsid w:val="48F82199"/>
    <w:rsid w:val="496F7EF0"/>
    <w:rsid w:val="49BF3D95"/>
    <w:rsid w:val="4B3448C9"/>
    <w:rsid w:val="4B634273"/>
    <w:rsid w:val="4B892341"/>
    <w:rsid w:val="4C041397"/>
    <w:rsid w:val="4C191A8E"/>
    <w:rsid w:val="4C24219F"/>
    <w:rsid w:val="4C9B1EDC"/>
    <w:rsid w:val="4CF16C6F"/>
    <w:rsid w:val="4D053DB7"/>
    <w:rsid w:val="4D6907B8"/>
    <w:rsid w:val="4D8945FE"/>
    <w:rsid w:val="4D8B160F"/>
    <w:rsid w:val="4E1504F4"/>
    <w:rsid w:val="4E624EA9"/>
    <w:rsid w:val="4ED138BE"/>
    <w:rsid w:val="4FB4705A"/>
    <w:rsid w:val="4FC5230A"/>
    <w:rsid w:val="500D0647"/>
    <w:rsid w:val="505A7C52"/>
    <w:rsid w:val="506D034F"/>
    <w:rsid w:val="513042D6"/>
    <w:rsid w:val="51E63A58"/>
    <w:rsid w:val="524F67BE"/>
    <w:rsid w:val="52534838"/>
    <w:rsid w:val="52D13BC3"/>
    <w:rsid w:val="52F1371F"/>
    <w:rsid w:val="531D6125"/>
    <w:rsid w:val="535F6324"/>
    <w:rsid w:val="53707771"/>
    <w:rsid w:val="53C14A06"/>
    <w:rsid w:val="53E5133C"/>
    <w:rsid w:val="53FC4DEA"/>
    <w:rsid w:val="544738E7"/>
    <w:rsid w:val="551F2A12"/>
    <w:rsid w:val="552E6FC7"/>
    <w:rsid w:val="55416FB7"/>
    <w:rsid w:val="556F0ECE"/>
    <w:rsid w:val="561329BC"/>
    <w:rsid w:val="56367441"/>
    <w:rsid w:val="56BD5562"/>
    <w:rsid w:val="56F95DB9"/>
    <w:rsid w:val="5718414E"/>
    <w:rsid w:val="57603D96"/>
    <w:rsid w:val="577F15BE"/>
    <w:rsid w:val="57A04B31"/>
    <w:rsid w:val="57A80986"/>
    <w:rsid w:val="580B0A67"/>
    <w:rsid w:val="58244425"/>
    <w:rsid w:val="5844015F"/>
    <w:rsid w:val="585D55D3"/>
    <w:rsid w:val="587C3B7C"/>
    <w:rsid w:val="587E2B50"/>
    <w:rsid w:val="58AE5E6C"/>
    <w:rsid w:val="59530370"/>
    <w:rsid w:val="595A5452"/>
    <w:rsid w:val="59A61FE2"/>
    <w:rsid w:val="59E306B7"/>
    <w:rsid w:val="5A2208D8"/>
    <w:rsid w:val="5A2A05D7"/>
    <w:rsid w:val="5A621F22"/>
    <w:rsid w:val="5A8D4C35"/>
    <w:rsid w:val="5AF203BF"/>
    <w:rsid w:val="5AF316C5"/>
    <w:rsid w:val="5AF656A4"/>
    <w:rsid w:val="5AFB48F5"/>
    <w:rsid w:val="5B0749B6"/>
    <w:rsid w:val="5B507098"/>
    <w:rsid w:val="5B8660C5"/>
    <w:rsid w:val="5B8B0CCE"/>
    <w:rsid w:val="5BB35F00"/>
    <w:rsid w:val="5BEC6D29"/>
    <w:rsid w:val="5C555A30"/>
    <w:rsid w:val="5CF8646C"/>
    <w:rsid w:val="5DC06299"/>
    <w:rsid w:val="5E760FA4"/>
    <w:rsid w:val="5F070A0D"/>
    <w:rsid w:val="5FB8191B"/>
    <w:rsid w:val="5FD93AD6"/>
    <w:rsid w:val="5FF244E3"/>
    <w:rsid w:val="601837E4"/>
    <w:rsid w:val="6077636E"/>
    <w:rsid w:val="60A87803"/>
    <w:rsid w:val="614E4FA0"/>
    <w:rsid w:val="61720B9B"/>
    <w:rsid w:val="618668C1"/>
    <w:rsid w:val="62A97A0D"/>
    <w:rsid w:val="62B44A39"/>
    <w:rsid w:val="62D21753"/>
    <w:rsid w:val="62DB02FB"/>
    <w:rsid w:val="63006152"/>
    <w:rsid w:val="638D157B"/>
    <w:rsid w:val="63907AE6"/>
    <w:rsid w:val="63CF1AF7"/>
    <w:rsid w:val="64970C00"/>
    <w:rsid w:val="653D54BE"/>
    <w:rsid w:val="658F62B3"/>
    <w:rsid w:val="659F5DD6"/>
    <w:rsid w:val="65F5397B"/>
    <w:rsid w:val="6641308A"/>
    <w:rsid w:val="664F4AF3"/>
    <w:rsid w:val="6663411D"/>
    <w:rsid w:val="67071C8C"/>
    <w:rsid w:val="6729250B"/>
    <w:rsid w:val="67527D70"/>
    <w:rsid w:val="67AA7046"/>
    <w:rsid w:val="67B33AE6"/>
    <w:rsid w:val="686237FE"/>
    <w:rsid w:val="687017F6"/>
    <w:rsid w:val="68C73AC8"/>
    <w:rsid w:val="69021540"/>
    <w:rsid w:val="69F9195D"/>
    <w:rsid w:val="6A2F6006"/>
    <w:rsid w:val="6A306F59"/>
    <w:rsid w:val="6A881EEF"/>
    <w:rsid w:val="6B484706"/>
    <w:rsid w:val="6B542D31"/>
    <w:rsid w:val="6BD9331B"/>
    <w:rsid w:val="6C6C7ECD"/>
    <w:rsid w:val="6CCB59AB"/>
    <w:rsid w:val="6D381670"/>
    <w:rsid w:val="6DB25F6E"/>
    <w:rsid w:val="6F435D7C"/>
    <w:rsid w:val="6FAE7B2A"/>
    <w:rsid w:val="6FE14506"/>
    <w:rsid w:val="6FE37671"/>
    <w:rsid w:val="70240EDA"/>
    <w:rsid w:val="705F7002"/>
    <w:rsid w:val="70783778"/>
    <w:rsid w:val="712A7B96"/>
    <w:rsid w:val="713D1B01"/>
    <w:rsid w:val="717C2653"/>
    <w:rsid w:val="726E0D16"/>
    <w:rsid w:val="73A7183F"/>
    <w:rsid w:val="73CE1A0F"/>
    <w:rsid w:val="740444D5"/>
    <w:rsid w:val="747316C0"/>
    <w:rsid w:val="74792490"/>
    <w:rsid w:val="74AA6602"/>
    <w:rsid w:val="75DA1E0C"/>
    <w:rsid w:val="76645CDE"/>
    <w:rsid w:val="767154CA"/>
    <w:rsid w:val="767A18DD"/>
    <w:rsid w:val="76BA5899"/>
    <w:rsid w:val="772C05BB"/>
    <w:rsid w:val="77582A59"/>
    <w:rsid w:val="780C02BC"/>
    <w:rsid w:val="78262FCF"/>
    <w:rsid w:val="786D0775"/>
    <w:rsid w:val="78C745AB"/>
    <w:rsid w:val="78C76E4C"/>
    <w:rsid w:val="799C119A"/>
    <w:rsid w:val="79B464DF"/>
    <w:rsid w:val="7A3F0FC4"/>
    <w:rsid w:val="7A7D0756"/>
    <w:rsid w:val="7BDF2DA6"/>
    <w:rsid w:val="7BFF158A"/>
    <w:rsid w:val="7C281CC1"/>
    <w:rsid w:val="7C7D6E6F"/>
    <w:rsid w:val="7C8A1B4F"/>
    <w:rsid w:val="7CB8170E"/>
    <w:rsid w:val="7D4B7DC3"/>
    <w:rsid w:val="7D720807"/>
    <w:rsid w:val="7D7A4A0F"/>
    <w:rsid w:val="7D9307C8"/>
    <w:rsid w:val="7DA81F3E"/>
    <w:rsid w:val="7DAC634A"/>
    <w:rsid w:val="7E2D0621"/>
    <w:rsid w:val="7E511DDE"/>
    <w:rsid w:val="7EA82432"/>
    <w:rsid w:val="7EB1095C"/>
    <w:rsid w:val="7F1C1B20"/>
    <w:rsid w:val="7FD33F2D"/>
    <w:rsid w:val="7FE62A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qFormat="1"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iPriority="99"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99"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99" w:semiHidden="0" w:name="Balloon Text"/>
    <w:lsdException w:qFormat="1" w:unhideWhenUsed="0" w:uiPriority="0"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100"/>
    <w:qFormat/>
    <w:uiPriority w:val="9"/>
    <w:pPr>
      <w:pageBreakBefore/>
      <w:jc w:val="left"/>
      <w:outlineLvl w:val="0"/>
    </w:pPr>
    <w:rPr>
      <w:rFonts w:eastAsia="黑体"/>
      <w:b/>
      <w:kern w:val="44"/>
      <w:sz w:val="28"/>
    </w:rPr>
  </w:style>
  <w:style w:type="paragraph" w:styleId="6">
    <w:name w:val="heading 2"/>
    <w:basedOn w:val="1"/>
    <w:next w:val="1"/>
    <w:link w:val="79"/>
    <w:unhideWhenUsed/>
    <w:qFormat/>
    <w:uiPriority w:val="9"/>
    <w:pPr>
      <w:ind w:left="1106" w:hanging="711"/>
      <w:outlineLvl w:val="1"/>
    </w:pPr>
    <w:rPr>
      <w:rFonts w:ascii="宋体" w:hAnsi="宋体" w:cs="宋体"/>
      <w:b/>
      <w:bCs/>
      <w:sz w:val="24"/>
    </w:rPr>
  </w:style>
  <w:style w:type="character" w:default="1" w:styleId="34">
    <w:name w:val="Default Paragraph Font"/>
    <w:semiHidden/>
    <w:unhideWhenUsed/>
    <w:uiPriority w:val="1"/>
  </w:style>
  <w:style w:type="table" w:default="1" w:styleId="32">
    <w:name w:val="Normal Table"/>
    <w:semiHidden/>
    <w:unhideWhenUsed/>
    <w:uiPriority w:val="99"/>
    <w:tblPr>
      <w:tblCellMar>
        <w:top w:w="0" w:type="dxa"/>
        <w:left w:w="108" w:type="dxa"/>
        <w:bottom w:w="0" w:type="dxa"/>
        <w:right w:w="108" w:type="dxa"/>
      </w:tblCellMar>
    </w:tblPr>
  </w:style>
  <w:style w:type="paragraph" w:styleId="2">
    <w:name w:val="Body Text First Indent 2"/>
    <w:basedOn w:val="1"/>
    <w:next w:val="3"/>
    <w:link w:val="80"/>
    <w:qFormat/>
    <w:uiPriority w:val="0"/>
    <w:pPr>
      <w:ind w:firstLine="210"/>
    </w:pPr>
  </w:style>
  <w:style w:type="paragraph" w:styleId="3">
    <w:name w:val="Body Text First Indent"/>
    <w:basedOn w:val="4"/>
    <w:next w:val="1"/>
    <w:link w:val="82"/>
    <w:qFormat/>
    <w:uiPriority w:val="0"/>
    <w:pPr>
      <w:spacing w:after="120"/>
      <w:ind w:firstLine="420" w:firstLineChars="100"/>
      <w:jc w:val="both"/>
    </w:pPr>
    <w:rPr>
      <w:sz w:val="21"/>
      <w:szCs w:val="24"/>
    </w:rPr>
  </w:style>
  <w:style w:type="paragraph" w:styleId="4">
    <w:name w:val="Body Text"/>
    <w:basedOn w:val="1"/>
    <w:link w:val="81"/>
    <w:qFormat/>
    <w:uiPriority w:val="0"/>
    <w:pPr>
      <w:jc w:val="left"/>
    </w:pPr>
    <w:rPr>
      <w:sz w:val="32"/>
      <w:szCs w:val="20"/>
    </w:rPr>
  </w:style>
  <w:style w:type="paragraph" w:styleId="7">
    <w:name w:val="toc 7"/>
    <w:basedOn w:val="1"/>
    <w:next w:val="1"/>
    <w:unhideWhenUsed/>
    <w:uiPriority w:val="39"/>
    <w:pPr>
      <w:ind w:left="2520" w:leftChars="1200"/>
    </w:pPr>
    <w:rPr>
      <w:rFonts w:asciiTheme="minorHAnsi" w:hAnsiTheme="minorHAnsi" w:eastAsiaTheme="minorEastAsia" w:cstheme="minorBidi"/>
      <w:szCs w:val="22"/>
    </w:rPr>
  </w:style>
  <w:style w:type="paragraph" w:styleId="8">
    <w:name w:val="Normal Indent"/>
    <w:basedOn w:val="1"/>
    <w:unhideWhenUsed/>
    <w:qFormat/>
    <w:uiPriority w:val="0"/>
    <w:pPr>
      <w:ind w:firstLine="420"/>
    </w:pPr>
    <w:rPr>
      <w:lang w:val="en-GB" w:eastAsia="zh-TW"/>
    </w:rPr>
  </w:style>
  <w:style w:type="paragraph" w:styleId="9">
    <w:name w:val="List Bullet"/>
    <w:basedOn w:val="1"/>
    <w:unhideWhenUsed/>
    <w:uiPriority w:val="99"/>
    <w:pPr>
      <w:numPr>
        <w:ilvl w:val="0"/>
        <w:numId w:val="1"/>
      </w:numPr>
      <w:contextualSpacing/>
    </w:pPr>
    <w:rPr>
      <w:rFonts w:asciiTheme="minorHAnsi" w:hAnsiTheme="minorHAnsi" w:eastAsiaTheme="minorEastAsia" w:cstheme="minorBidi"/>
      <w:szCs w:val="22"/>
    </w:rPr>
  </w:style>
  <w:style w:type="paragraph" w:styleId="10">
    <w:name w:val="Document Map"/>
    <w:basedOn w:val="1"/>
    <w:link w:val="112"/>
    <w:uiPriority w:val="0"/>
    <w:rPr>
      <w:rFonts w:ascii="Microsoft YaHei UI" w:eastAsia="Microsoft YaHei UI"/>
      <w:sz w:val="18"/>
      <w:szCs w:val="18"/>
    </w:rPr>
  </w:style>
  <w:style w:type="paragraph" w:styleId="11">
    <w:name w:val="annotation text"/>
    <w:basedOn w:val="1"/>
    <w:link w:val="71"/>
    <w:qFormat/>
    <w:uiPriority w:val="99"/>
    <w:pPr>
      <w:jc w:val="left"/>
    </w:pPr>
  </w:style>
  <w:style w:type="paragraph" w:styleId="12">
    <w:name w:val="Body Text 3"/>
    <w:basedOn w:val="1"/>
    <w:link w:val="90"/>
    <w:qFormat/>
    <w:uiPriority w:val="0"/>
    <w:pPr>
      <w:spacing w:after="120"/>
    </w:pPr>
    <w:rPr>
      <w:rFonts w:ascii="Calibri" w:hAnsi="Calibri"/>
      <w:sz w:val="16"/>
      <w:szCs w:val="16"/>
    </w:rPr>
  </w:style>
  <w:style w:type="paragraph" w:styleId="13">
    <w:name w:val="Body Text Indent"/>
    <w:basedOn w:val="1"/>
    <w:next w:val="1"/>
    <w:link w:val="68"/>
    <w:unhideWhenUsed/>
    <w:qFormat/>
    <w:uiPriority w:val="99"/>
    <w:pPr>
      <w:spacing w:line="500" w:lineRule="atLeast"/>
      <w:ind w:firstLine="360"/>
    </w:pPr>
    <w:rPr>
      <w:sz w:val="24"/>
    </w:rPr>
  </w:style>
  <w:style w:type="paragraph" w:styleId="14">
    <w:name w:val="Block Text"/>
    <w:basedOn w:val="1"/>
    <w:qFormat/>
    <w:uiPriority w:val="0"/>
    <w:pPr>
      <w:adjustRightInd w:val="0"/>
      <w:spacing w:before="100" w:line="500" w:lineRule="exact"/>
      <w:ind w:left="-20" w:leftChars="-7" w:right="-64" w:rightChars="-23" w:firstLine="492" w:firstLineChars="205"/>
      <w:jc w:val="left"/>
      <w:textAlignment w:val="baseline"/>
    </w:pPr>
    <w:rPr>
      <w:rFonts w:ascii="宋体" w:hAnsi="宋体"/>
      <w:snapToGrid w:val="0"/>
      <w:color w:val="000000"/>
      <w:kern w:val="0"/>
      <w:sz w:val="24"/>
      <w:szCs w:val="28"/>
    </w:rPr>
  </w:style>
  <w:style w:type="paragraph" w:styleId="15">
    <w:name w:val="toc 5"/>
    <w:basedOn w:val="1"/>
    <w:next w:val="1"/>
    <w:unhideWhenUsed/>
    <w:uiPriority w:val="39"/>
    <w:pPr>
      <w:ind w:left="1680" w:leftChars="800"/>
    </w:pPr>
    <w:rPr>
      <w:rFonts w:asciiTheme="minorHAnsi" w:hAnsiTheme="minorHAnsi" w:eastAsiaTheme="minorEastAsia" w:cstheme="minorBidi"/>
      <w:szCs w:val="22"/>
    </w:rPr>
  </w:style>
  <w:style w:type="paragraph" w:styleId="16">
    <w:name w:val="toc 3"/>
    <w:basedOn w:val="1"/>
    <w:next w:val="1"/>
    <w:qFormat/>
    <w:uiPriority w:val="39"/>
    <w:pPr>
      <w:ind w:left="840" w:leftChars="400"/>
    </w:pPr>
    <w:rPr>
      <w:rFonts w:ascii="Calibri" w:hAnsi="Calibri"/>
      <w:sz w:val="24"/>
    </w:rPr>
  </w:style>
  <w:style w:type="paragraph" w:styleId="17">
    <w:name w:val="Plain Text"/>
    <w:basedOn w:val="1"/>
    <w:next w:val="18"/>
    <w:link w:val="73"/>
    <w:unhideWhenUsed/>
    <w:qFormat/>
    <w:uiPriority w:val="99"/>
    <w:rPr>
      <w:rFonts w:ascii="宋体" w:hAnsi="Courier New"/>
      <w:sz w:val="28"/>
      <w:szCs w:val="21"/>
    </w:rPr>
  </w:style>
  <w:style w:type="paragraph" w:customStyle="1" w:styleId="18">
    <w:name w:val="Default"/>
    <w:basedOn w:val="19"/>
    <w:next w:val="1"/>
    <w:qFormat/>
    <w:uiPriority w:val="0"/>
    <w:pPr>
      <w:autoSpaceDE w:val="0"/>
      <w:autoSpaceDN w:val="0"/>
    </w:pPr>
    <w:rPr>
      <w:rFonts w:ascii="宋体_x0001_..擢." w:hAnsi="Times New Roman" w:eastAsia="宋体_x0001_..擢."/>
      <w:color w:val="000000"/>
      <w:sz w:val="24"/>
    </w:rPr>
  </w:style>
  <w:style w:type="paragraph" w:customStyle="1" w:styleId="19">
    <w:name w:val="纯文本1"/>
    <w:basedOn w:val="1"/>
    <w:qFormat/>
    <w:uiPriority w:val="0"/>
    <w:pPr>
      <w:adjustRightInd w:val="0"/>
      <w:jc w:val="center"/>
      <w:textAlignment w:val="baseline"/>
    </w:pPr>
    <w:rPr>
      <w:rFonts w:ascii="宋体" w:hAnsi="Courier New"/>
    </w:rPr>
  </w:style>
  <w:style w:type="paragraph" w:styleId="20">
    <w:name w:val="toc 8"/>
    <w:basedOn w:val="1"/>
    <w:next w:val="1"/>
    <w:unhideWhenUsed/>
    <w:uiPriority w:val="39"/>
    <w:pPr>
      <w:ind w:left="2940" w:leftChars="1400"/>
    </w:pPr>
    <w:rPr>
      <w:rFonts w:asciiTheme="minorHAnsi" w:hAnsiTheme="minorHAnsi" w:eastAsiaTheme="minorEastAsia" w:cstheme="minorBidi"/>
      <w:szCs w:val="22"/>
    </w:rPr>
  </w:style>
  <w:style w:type="paragraph" w:styleId="21">
    <w:name w:val="Body Text Indent 2"/>
    <w:basedOn w:val="1"/>
    <w:qFormat/>
    <w:uiPriority w:val="99"/>
    <w:pPr>
      <w:spacing w:line="520" w:lineRule="exact"/>
      <w:ind w:firstLine="555"/>
    </w:pPr>
    <w:rPr>
      <w:rFonts w:ascii="楷体_GB2312" w:eastAsia="楷体_GB2312"/>
      <w:bCs/>
    </w:rPr>
  </w:style>
  <w:style w:type="paragraph" w:styleId="22">
    <w:name w:val="Balloon Text"/>
    <w:basedOn w:val="1"/>
    <w:link w:val="106"/>
    <w:unhideWhenUsed/>
    <w:uiPriority w:val="99"/>
    <w:rPr>
      <w:rFonts w:asciiTheme="minorHAnsi" w:hAnsiTheme="minorHAnsi" w:eastAsiaTheme="minorEastAsia" w:cstheme="minorBidi"/>
      <w:sz w:val="18"/>
      <w:szCs w:val="18"/>
    </w:rPr>
  </w:style>
  <w:style w:type="paragraph" w:styleId="23">
    <w:name w:val="footer"/>
    <w:basedOn w:val="1"/>
    <w:link w:val="56"/>
    <w:qFormat/>
    <w:uiPriority w:val="99"/>
    <w:pPr>
      <w:tabs>
        <w:tab w:val="center" w:pos="4153"/>
        <w:tab w:val="right" w:pos="8306"/>
      </w:tabs>
      <w:snapToGrid w:val="0"/>
      <w:jc w:val="left"/>
    </w:pPr>
    <w:rPr>
      <w:kern w:val="0"/>
      <w:sz w:val="18"/>
      <w:szCs w:val="20"/>
    </w:rPr>
  </w:style>
  <w:style w:type="paragraph" w:styleId="24">
    <w:name w:val="header"/>
    <w:basedOn w:val="1"/>
    <w:next w:val="1"/>
    <w:link w:val="5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5">
    <w:name w:val="toc 1"/>
    <w:basedOn w:val="1"/>
    <w:next w:val="1"/>
    <w:qFormat/>
    <w:uiPriority w:val="39"/>
    <w:rPr>
      <w:rFonts w:ascii="Calibri" w:hAnsi="Calibri"/>
      <w:sz w:val="24"/>
    </w:rPr>
  </w:style>
  <w:style w:type="paragraph" w:styleId="26">
    <w:name w:val="toc 4"/>
    <w:basedOn w:val="1"/>
    <w:next w:val="1"/>
    <w:unhideWhenUsed/>
    <w:uiPriority w:val="39"/>
    <w:pPr>
      <w:ind w:left="1260" w:leftChars="600"/>
    </w:pPr>
    <w:rPr>
      <w:rFonts w:asciiTheme="minorHAnsi" w:hAnsiTheme="minorHAnsi" w:eastAsiaTheme="minorEastAsia" w:cstheme="minorBidi"/>
      <w:szCs w:val="22"/>
    </w:rPr>
  </w:style>
  <w:style w:type="paragraph" w:styleId="27">
    <w:name w:val="toc 6"/>
    <w:basedOn w:val="1"/>
    <w:next w:val="1"/>
    <w:unhideWhenUsed/>
    <w:uiPriority w:val="39"/>
    <w:pPr>
      <w:ind w:left="2100" w:leftChars="1000"/>
    </w:pPr>
    <w:rPr>
      <w:rFonts w:asciiTheme="minorHAnsi" w:hAnsiTheme="minorHAnsi" w:eastAsiaTheme="minorEastAsia" w:cstheme="minorBidi"/>
      <w:szCs w:val="22"/>
    </w:rPr>
  </w:style>
  <w:style w:type="paragraph" w:styleId="28">
    <w:name w:val="toc 2"/>
    <w:basedOn w:val="1"/>
    <w:next w:val="1"/>
    <w:qFormat/>
    <w:uiPriority w:val="39"/>
    <w:pPr>
      <w:ind w:left="420" w:leftChars="200"/>
    </w:pPr>
    <w:rPr>
      <w:rFonts w:ascii="Calibri" w:hAnsi="Calibri"/>
      <w:sz w:val="24"/>
    </w:rPr>
  </w:style>
  <w:style w:type="paragraph" w:styleId="29">
    <w:name w:val="toc 9"/>
    <w:basedOn w:val="1"/>
    <w:next w:val="1"/>
    <w:unhideWhenUsed/>
    <w:uiPriority w:val="39"/>
    <w:pPr>
      <w:ind w:left="3360" w:leftChars="1600"/>
    </w:pPr>
    <w:rPr>
      <w:rFonts w:asciiTheme="minorHAnsi" w:hAnsiTheme="minorHAnsi" w:eastAsiaTheme="minorEastAsia" w:cstheme="minorBidi"/>
      <w:szCs w:val="22"/>
    </w:rPr>
  </w:style>
  <w:style w:type="paragraph" w:styleId="30">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31">
    <w:name w:val="annotation subject"/>
    <w:basedOn w:val="11"/>
    <w:next w:val="11"/>
    <w:link w:val="76"/>
    <w:qFormat/>
    <w:uiPriority w:val="99"/>
    <w:rPr>
      <w:b/>
      <w:bCs/>
    </w:rPr>
  </w:style>
  <w:style w:type="table" w:styleId="33">
    <w:name w:val="Table Grid"/>
    <w:basedOn w:val="32"/>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5">
    <w:name w:val="Strong"/>
    <w:basedOn w:val="34"/>
    <w:qFormat/>
    <w:uiPriority w:val="22"/>
    <w:rPr>
      <w:b/>
      <w:bCs/>
    </w:rPr>
  </w:style>
  <w:style w:type="character" w:styleId="36">
    <w:name w:val="page number"/>
    <w:basedOn w:val="34"/>
    <w:qFormat/>
    <w:uiPriority w:val="0"/>
    <w:rPr>
      <w:rFonts w:hint="default" w:ascii="Times New Roman" w:hAnsi="Times New Roman" w:cs="Times New Roman"/>
    </w:rPr>
  </w:style>
  <w:style w:type="character" w:styleId="37">
    <w:name w:val="FollowedHyperlink"/>
    <w:basedOn w:val="34"/>
    <w:qFormat/>
    <w:uiPriority w:val="99"/>
    <w:rPr>
      <w:color w:val="954F72"/>
      <w:u w:val="single"/>
    </w:rPr>
  </w:style>
  <w:style w:type="character" w:styleId="38">
    <w:name w:val="Emphasis"/>
    <w:basedOn w:val="34"/>
    <w:qFormat/>
    <w:uiPriority w:val="20"/>
    <w:rPr>
      <w:i/>
      <w:iCs/>
    </w:rPr>
  </w:style>
  <w:style w:type="character" w:styleId="39">
    <w:name w:val="Hyperlink"/>
    <w:basedOn w:val="34"/>
    <w:qFormat/>
    <w:uiPriority w:val="99"/>
    <w:rPr>
      <w:color w:val="0000FF"/>
      <w:u w:val="single"/>
    </w:rPr>
  </w:style>
  <w:style w:type="character" w:styleId="40">
    <w:name w:val="annotation reference"/>
    <w:qFormat/>
    <w:uiPriority w:val="99"/>
    <w:rPr>
      <w:sz w:val="21"/>
      <w:szCs w:val="21"/>
    </w:rPr>
  </w:style>
  <w:style w:type="paragraph" w:customStyle="1" w:styleId="41">
    <w:name w:val="Default1"/>
    <w:qFormat/>
    <w:uiPriority w:val="99"/>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42">
    <w:name w:val="昆明中海正文"/>
    <w:basedOn w:val="1"/>
    <w:qFormat/>
    <w:uiPriority w:val="0"/>
    <w:pPr>
      <w:spacing w:line="360" w:lineRule="auto"/>
      <w:ind w:firstLine="528" w:firstLineChars="200"/>
    </w:pPr>
    <w:rPr>
      <w:rFonts w:ascii="宋体" w:hAnsi="宋体" w:cs="宋体"/>
      <w:bCs/>
      <w:snapToGrid w:val="0"/>
      <w:spacing w:val="12"/>
      <w:kern w:val="0"/>
      <w:sz w:val="24"/>
    </w:rPr>
  </w:style>
  <w:style w:type="paragraph" w:customStyle="1" w:styleId="43">
    <w:name w:val="样式 标题 1 + 四号 段前: 0 磅 段后: 0 磅 行距: 1.5 倍行距"/>
    <w:basedOn w:val="44"/>
    <w:next w:val="1"/>
    <w:qFormat/>
    <w:uiPriority w:val="0"/>
    <w:pPr>
      <w:jc w:val="center"/>
    </w:pPr>
  </w:style>
  <w:style w:type="paragraph" w:customStyle="1" w:styleId="44">
    <w:name w:val="1正文"/>
    <w:qFormat/>
    <w:uiPriority w:val="0"/>
    <w:pPr>
      <w:snapToGrid w:val="0"/>
      <w:spacing w:line="360" w:lineRule="auto"/>
      <w:ind w:firstLine="200" w:firstLineChars="200"/>
      <w:jc w:val="both"/>
    </w:pPr>
    <w:rPr>
      <w:rFonts w:ascii="Calibri" w:hAnsi="Calibri" w:eastAsia="宋体" w:cs="Times New Roman"/>
      <w:kern w:val="2"/>
      <w:sz w:val="24"/>
      <w:szCs w:val="24"/>
      <w:lang w:val="en-US" w:eastAsia="zh-CN" w:bidi="ar-SA"/>
    </w:rPr>
  </w:style>
  <w:style w:type="paragraph" w:customStyle="1" w:styleId="45">
    <w:name w:val="Table Paragraph"/>
    <w:basedOn w:val="1"/>
    <w:qFormat/>
    <w:uiPriority w:val="1"/>
    <w:pPr>
      <w:jc w:val="center"/>
    </w:pPr>
    <w:rPr>
      <w:rFonts w:ascii="宋体" w:hAnsi="宋体" w:cs="宋体"/>
      <w:lang w:val="zh-CN" w:bidi="zh-CN"/>
    </w:rPr>
  </w:style>
  <w:style w:type="paragraph" w:customStyle="1" w:styleId="46">
    <w:name w:val="表格文字"/>
    <w:basedOn w:val="8"/>
    <w:qFormat/>
    <w:uiPriority w:val="0"/>
    <w:pPr>
      <w:snapToGrid w:val="0"/>
      <w:spacing w:line="340" w:lineRule="exact"/>
      <w:ind w:firstLine="0"/>
      <w:jc w:val="center"/>
    </w:pPr>
    <w:rPr>
      <w:rFonts w:ascii="宋体" w:hAnsi="Arial"/>
      <w:szCs w:val="20"/>
    </w:rPr>
  </w:style>
  <w:style w:type="paragraph" w:customStyle="1" w:styleId="47">
    <w:name w:val="环评正文"/>
    <w:basedOn w:val="1"/>
    <w:qFormat/>
    <w:uiPriority w:val="0"/>
    <w:pPr>
      <w:jc w:val="left"/>
    </w:pPr>
    <w:rPr>
      <w:color w:val="000000"/>
      <w:kern w:val="0"/>
      <w:lang w:val="zh-CN"/>
    </w:rPr>
  </w:style>
  <w:style w:type="paragraph" w:customStyle="1" w:styleId="48">
    <w:name w:val="表格"/>
    <w:basedOn w:val="1"/>
    <w:next w:val="1"/>
    <w:qFormat/>
    <w:uiPriority w:val="0"/>
    <w:pPr>
      <w:adjustRightInd w:val="0"/>
      <w:snapToGrid w:val="0"/>
      <w:spacing w:beforeLines="10" w:afterLines="10" w:line="259" w:lineRule="auto"/>
      <w:jc w:val="center"/>
    </w:pPr>
    <w:rPr>
      <w:rFonts w:ascii="宋体"/>
      <w:kern w:val="0"/>
      <w:szCs w:val="20"/>
    </w:rPr>
  </w:style>
  <w:style w:type="paragraph" w:customStyle="1" w:styleId="49">
    <w:name w:val="Other|1"/>
    <w:basedOn w:val="1"/>
    <w:qFormat/>
    <w:uiPriority w:val="0"/>
    <w:pPr>
      <w:spacing w:line="480" w:lineRule="auto"/>
      <w:ind w:firstLine="400"/>
    </w:pPr>
    <w:rPr>
      <w:rFonts w:ascii="宋体" w:hAnsi="宋体" w:cs="宋体"/>
      <w:sz w:val="20"/>
      <w:szCs w:val="20"/>
      <w:lang w:val="zh-TW" w:eastAsia="zh-TW" w:bidi="zh-TW"/>
    </w:rPr>
  </w:style>
  <w:style w:type="paragraph" w:customStyle="1" w:styleId="50">
    <w:name w:val="WPSOffice手动目录 1"/>
    <w:qFormat/>
    <w:uiPriority w:val="0"/>
    <w:rPr>
      <w:rFonts w:asciiTheme="minorHAnsi" w:hAnsiTheme="minorHAnsi" w:eastAsiaTheme="minorEastAsia" w:cstheme="minorBidi"/>
      <w:lang w:val="en-US" w:eastAsia="zh-CN" w:bidi="ar-SA"/>
    </w:rPr>
  </w:style>
  <w:style w:type="table" w:customStyle="1" w:styleId="51">
    <w:name w:val="表格主题1"/>
    <w:basedOn w:val="32"/>
    <w:qFormat/>
    <w:uiPriority w:val="0"/>
    <w:pPr>
      <w:widowControl w:val="0"/>
      <w:jc w:val="center"/>
    </w:pPr>
    <w:tblP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Pr>
    <w:tcPr>
      <w:vAlign w:val="center"/>
    </w:tcPr>
  </w:style>
  <w:style w:type="paragraph" w:customStyle="1" w:styleId="52">
    <w:name w:val="p17"/>
    <w:basedOn w:val="1"/>
    <w:qFormat/>
    <w:uiPriority w:val="99"/>
    <w:pPr>
      <w:widowControl/>
      <w:spacing w:line="400" w:lineRule="atLeast"/>
      <w:ind w:firstLine="420"/>
      <w:jc w:val="left"/>
    </w:pPr>
    <w:rPr>
      <w:rFonts w:cs="宋体"/>
      <w:kern w:val="0"/>
      <w:sz w:val="24"/>
    </w:rPr>
  </w:style>
  <w:style w:type="paragraph" w:customStyle="1" w:styleId="53">
    <w:name w:val="中文报告书样式"/>
    <w:basedOn w:val="1"/>
    <w:qFormat/>
    <w:uiPriority w:val="0"/>
    <w:pPr>
      <w:adjustRightInd w:val="0"/>
      <w:spacing w:line="480" w:lineRule="atLeast"/>
      <w:ind w:firstLine="482"/>
      <w:textAlignment w:val="baseline"/>
    </w:pPr>
    <w:rPr>
      <w:rFonts w:eastAsia="Times New Roman"/>
      <w:kern w:val="24"/>
      <w:sz w:val="24"/>
    </w:rPr>
  </w:style>
  <w:style w:type="paragraph" w:customStyle="1" w:styleId="54">
    <w:name w:val="图表"/>
    <w:basedOn w:val="1"/>
    <w:qFormat/>
    <w:uiPriority w:val="0"/>
    <w:pPr>
      <w:spacing w:line="400" w:lineRule="exact"/>
      <w:jc w:val="center"/>
    </w:pPr>
    <w:rPr>
      <w:rFonts w:ascii="宋体" w:hAnsi="宋体"/>
      <w:spacing w:val="4"/>
    </w:rPr>
  </w:style>
  <w:style w:type="paragraph" w:customStyle="1" w:styleId="55">
    <w:name w:val="p0"/>
    <w:basedOn w:val="1"/>
    <w:qFormat/>
    <w:uiPriority w:val="0"/>
    <w:pPr>
      <w:widowControl/>
    </w:pPr>
    <w:rPr>
      <w:kern w:val="0"/>
      <w:szCs w:val="21"/>
    </w:rPr>
  </w:style>
  <w:style w:type="character" w:customStyle="1" w:styleId="56">
    <w:name w:val="页脚 字符"/>
    <w:basedOn w:val="34"/>
    <w:link w:val="23"/>
    <w:qFormat/>
    <w:uiPriority w:val="99"/>
  </w:style>
  <w:style w:type="character" w:customStyle="1" w:styleId="57">
    <w:name w:val="页眉 字符"/>
    <w:basedOn w:val="34"/>
    <w:link w:val="24"/>
    <w:qFormat/>
    <w:uiPriority w:val="0"/>
  </w:style>
  <w:style w:type="character" w:customStyle="1" w:styleId="58">
    <w:name w:val="msoins"/>
    <w:basedOn w:val="34"/>
    <w:qFormat/>
    <w:uiPriority w:val="0"/>
    <w:rPr>
      <w:color w:val="008080"/>
      <w:u w:val="single"/>
    </w:rPr>
  </w:style>
  <w:style w:type="character" w:customStyle="1" w:styleId="59">
    <w:name w:val="apple-converted-space"/>
    <w:basedOn w:val="34"/>
    <w:qFormat/>
    <w:uiPriority w:val="0"/>
    <w:rPr>
      <w:rFonts w:hint="default" w:ascii="Times New Roman" w:hAnsi="Times New Roman" w:cs="Times New Roman"/>
    </w:rPr>
  </w:style>
  <w:style w:type="character" w:customStyle="1" w:styleId="60">
    <w:name w:val="charchar"/>
    <w:basedOn w:val="34"/>
    <w:qFormat/>
    <w:uiPriority w:val="0"/>
    <w:rPr>
      <w:rFonts w:hint="default" w:ascii="Times New Roman" w:hAnsi="Times New Roman" w:cs="Times New Roman"/>
    </w:rPr>
  </w:style>
  <w:style w:type="character" w:customStyle="1" w:styleId="61">
    <w:name w:val="charchar0"/>
    <w:basedOn w:val="34"/>
    <w:qFormat/>
    <w:uiPriority w:val="0"/>
    <w:rPr>
      <w:b/>
    </w:rPr>
  </w:style>
  <w:style w:type="character" w:customStyle="1" w:styleId="62">
    <w:name w:val="msodel"/>
    <w:basedOn w:val="34"/>
    <w:qFormat/>
    <w:uiPriority w:val="0"/>
    <w:rPr>
      <w:strike/>
      <w:color w:val="FF0000"/>
    </w:rPr>
  </w:style>
  <w:style w:type="paragraph" w:customStyle="1" w:styleId="63">
    <w:name w:val="样式 标题 1 + 加粗"/>
    <w:basedOn w:val="5"/>
    <w:qFormat/>
    <w:uiPriority w:val="0"/>
    <w:pPr>
      <w:tabs>
        <w:tab w:val="center" w:pos="4381"/>
      </w:tabs>
      <w:snapToGrid w:val="0"/>
      <w:spacing w:line="360" w:lineRule="auto"/>
    </w:pPr>
    <w:rPr>
      <w:rFonts w:ascii="宋体" w:hAnsi="宋体" w:eastAsia="宋体"/>
      <w:sz w:val="32"/>
      <w:szCs w:val="32"/>
    </w:rPr>
  </w:style>
  <w:style w:type="paragraph" w:styleId="64">
    <w:name w:val="List Paragraph"/>
    <w:basedOn w:val="1"/>
    <w:qFormat/>
    <w:uiPriority w:val="34"/>
    <w:pPr>
      <w:ind w:left="1265" w:hanging="602"/>
    </w:pPr>
    <w:rPr>
      <w:rFonts w:ascii="宋体" w:hAnsi="宋体" w:cs="宋体"/>
      <w:lang w:val="zh-CN" w:bidi="zh-CN"/>
    </w:rPr>
  </w:style>
  <w:style w:type="paragraph" w:customStyle="1" w:styleId="65">
    <w:name w:val="Normal Indent1"/>
    <w:basedOn w:val="1"/>
    <w:qFormat/>
    <w:uiPriority w:val="99"/>
    <w:pPr>
      <w:ind w:firstLine="420" w:firstLineChars="200"/>
    </w:pPr>
  </w:style>
  <w:style w:type="paragraph" w:customStyle="1" w:styleId="66">
    <w:name w:val="魏秀珍   正文"/>
    <w:basedOn w:val="8"/>
    <w:qFormat/>
    <w:uiPriority w:val="0"/>
    <w:pPr>
      <w:tabs>
        <w:tab w:val="left" w:pos="574"/>
      </w:tabs>
      <w:spacing w:line="360" w:lineRule="auto"/>
      <w:ind w:firstLine="0"/>
    </w:pPr>
    <w:rPr>
      <w:rFonts w:ascii="宋体" w:hAnsi="宋体"/>
      <w:b/>
      <w:spacing w:val="4"/>
      <w:kern w:val="0"/>
      <w:szCs w:val="28"/>
      <w:lang w:bidi="he-IL"/>
    </w:rPr>
  </w:style>
  <w:style w:type="character" w:customStyle="1" w:styleId="67">
    <w:name w:val="正文文本 (2) + 9.5 pt"/>
    <w:qFormat/>
    <w:uiPriority w:val="0"/>
    <w:rPr>
      <w:rFonts w:ascii="MingLiU" w:hAnsi="MingLiU" w:eastAsia="MingLiU" w:cs="MingLiU"/>
      <w:color w:val="000000"/>
      <w:spacing w:val="0"/>
      <w:w w:val="100"/>
      <w:position w:val="0"/>
      <w:sz w:val="19"/>
      <w:szCs w:val="19"/>
      <w:u w:val="none"/>
      <w:lang w:val="zh-TW" w:eastAsia="zh-TW" w:bidi="zh-TW"/>
    </w:rPr>
  </w:style>
  <w:style w:type="character" w:customStyle="1" w:styleId="68">
    <w:name w:val="正文文本缩进 字符"/>
    <w:basedOn w:val="34"/>
    <w:link w:val="13"/>
    <w:qFormat/>
    <w:uiPriority w:val="99"/>
    <w:rPr>
      <w:kern w:val="2"/>
      <w:sz w:val="24"/>
      <w:szCs w:val="24"/>
    </w:rPr>
  </w:style>
  <w:style w:type="paragraph" w:customStyle="1" w:styleId="69">
    <w:name w:val="1-正文"/>
    <w:basedOn w:val="1"/>
    <w:next w:val="1"/>
    <w:link w:val="70"/>
    <w:qFormat/>
    <w:uiPriority w:val="0"/>
    <w:pPr>
      <w:spacing w:line="360" w:lineRule="auto"/>
      <w:ind w:firstLine="480" w:firstLineChars="200"/>
      <w:jc w:val="left"/>
    </w:pPr>
    <w:rPr>
      <w:rFonts w:ascii="宋体" w:hAnsi="宋体" w:cs="宋体"/>
    </w:rPr>
  </w:style>
  <w:style w:type="character" w:customStyle="1" w:styleId="70">
    <w:name w:val="1-正文 Char"/>
    <w:link w:val="69"/>
    <w:qFormat/>
    <w:uiPriority w:val="0"/>
    <w:rPr>
      <w:rFonts w:ascii="宋体" w:hAnsi="宋体" w:cs="宋体"/>
      <w:kern w:val="2"/>
      <w:sz w:val="21"/>
      <w:szCs w:val="24"/>
    </w:rPr>
  </w:style>
  <w:style w:type="character" w:customStyle="1" w:styleId="71">
    <w:name w:val="批注文字 字符"/>
    <w:basedOn w:val="34"/>
    <w:link w:val="11"/>
    <w:qFormat/>
    <w:uiPriority w:val="99"/>
    <w:rPr>
      <w:kern w:val="2"/>
      <w:sz w:val="21"/>
      <w:szCs w:val="24"/>
    </w:rPr>
  </w:style>
  <w:style w:type="table" w:customStyle="1" w:styleId="72">
    <w:name w:val="网格型2"/>
    <w:basedOn w:val="3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3">
    <w:name w:val="纯文本 字符"/>
    <w:basedOn w:val="34"/>
    <w:link w:val="17"/>
    <w:qFormat/>
    <w:uiPriority w:val="0"/>
    <w:rPr>
      <w:rFonts w:ascii="宋体" w:hAnsi="Courier New"/>
      <w:kern w:val="2"/>
      <w:sz w:val="28"/>
      <w:szCs w:val="21"/>
    </w:rPr>
  </w:style>
  <w:style w:type="table" w:customStyle="1" w:styleId="74">
    <w:name w:val="网格型3"/>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5">
    <w:name w:val="Table Normal"/>
    <w:unhideWhenUsed/>
    <w:qFormat/>
    <w:uiPriority w:val="0"/>
    <w:tblPr>
      <w:tblCellMar>
        <w:top w:w="0" w:type="dxa"/>
        <w:left w:w="0" w:type="dxa"/>
        <w:bottom w:w="0" w:type="dxa"/>
        <w:right w:w="0" w:type="dxa"/>
      </w:tblCellMar>
    </w:tblPr>
  </w:style>
  <w:style w:type="character" w:customStyle="1" w:styleId="76">
    <w:name w:val="批注主题 字符"/>
    <w:basedOn w:val="71"/>
    <w:link w:val="31"/>
    <w:qFormat/>
    <w:uiPriority w:val="99"/>
    <w:rPr>
      <w:b/>
      <w:bCs/>
      <w:kern w:val="2"/>
      <w:sz w:val="21"/>
      <w:szCs w:val="24"/>
    </w:rPr>
  </w:style>
  <w:style w:type="paragraph" w:customStyle="1" w:styleId="77">
    <w:name w:val="正文首行缩进1"/>
    <w:basedOn w:val="4"/>
    <w:next w:val="1"/>
    <w:qFormat/>
    <w:uiPriority w:val="0"/>
    <w:pPr>
      <w:spacing w:line="360" w:lineRule="auto"/>
      <w:ind w:firstLine="200" w:firstLineChars="200"/>
      <w:jc w:val="both"/>
    </w:pPr>
    <w:rPr>
      <w:kern w:val="0"/>
      <w:sz w:val="24"/>
      <w:szCs w:val="24"/>
    </w:rPr>
  </w:style>
  <w:style w:type="table" w:customStyle="1" w:styleId="78">
    <w:name w:val="网格型1"/>
    <w:basedOn w:val="3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9">
    <w:name w:val="标题 2 字符"/>
    <w:basedOn w:val="34"/>
    <w:link w:val="6"/>
    <w:qFormat/>
    <w:uiPriority w:val="9"/>
    <w:rPr>
      <w:rFonts w:ascii="宋体" w:hAnsi="宋体" w:cs="宋体"/>
      <w:b/>
      <w:bCs/>
      <w:kern w:val="2"/>
      <w:sz w:val="24"/>
      <w:szCs w:val="24"/>
    </w:rPr>
  </w:style>
  <w:style w:type="character" w:customStyle="1" w:styleId="80">
    <w:name w:val="正文文本首行缩进 2 字符"/>
    <w:basedOn w:val="68"/>
    <w:link w:val="2"/>
    <w:qFormat/>
    <w:uiPriority w:val="0"/>
    <w:rPr>
      <w:kern w:val="2"/>
      <w:sz w:val="21"/>
      <w:szCs w:val="24"/>
    </w:rPr>
  </w:style>
  <w:style w:type="character" w:customStyle="1" w:styleId="81">
    <w:name w:val="正文文本 字符"/>
    <w:basedOn w:val="34"/>
    <w:link w:val="4"/>
    <w:qFormat/>
    <w:uiPriority w:val="0"/>
    <w:rPr>
      <w:kern w:val="2"/>
      <w:sz w:val="32"/>
    </w:rPr>
  </w:style>
  <w:style w:type="character" w:customStyle="1" w:styleId="82">
    <w:name w:val="正文文本首行缩进 字符"/>
    <w:basedOn w:val="81"/>
    <w:link w:val="3"/>
    <w:qFormat/>
    <w:uiPriority w:val="0"/>
    <w:rPr>
      <w:kern w:val="2"/>
      <w:sz w:val="21"/>
      <w:szCs w:val="24"/>
    </w:rPr>
  </w:style>
  <w:style w:type="paragraph" w:customStyle="1" w:styleId="83">
    <w:name w:val="msonormal"/>
    <w:basedOn w:val="1"/>
    <w:qFormat/>
    <w:uiPriority w:val="0"/>
    <w:pPr>
      <w:widowControl/>
      <w:spacing w:before="100" w:beforeAutospacing="1" w:after="100" w:afterAutospacing="1"/>
      <w:jc w:val="left"/>
    </w:pPr>
    <w:rPr>
      <w:rFonts w:ascii="宋体" w:hAnsi="宋体" w:cs="宋体"/>
      <w:kern w:val="0"/>
      <w:sz w:val="24"/>
    </w:rPr>
  </w:style>
  <w:style w:type="table" w:customStyle="1" w:styleId="84">
    <w:name w:val="Table Normal1"/>
    <w:basedOn w:val="32"/>
    <w:semiHidden/>
    <w:qFormat/>
    <w:uiPriority w:val="0"/>
    <w:rPr>
      <w:rFonts w:eastAsia="Times New Roman"/>
    </w:rPr>
    <w:tblPr>
      <w:tblCellMar>
        <w:left w:w="0" w:type="dxa"/>
        <w:right w:w="0" w:type="dxa"/>
      </w:tblCellMar>
    </w:tblPr>
  </w:style>
  <w:style w:type="character" w:styleId="85">
    <w:name w:val="Placeholder Text"/>
    <w:basedOn w:val="34"/>
    <w:semiHidden/>
    <w:qFormat/>
    <w:uiPriority w:val="99"/>
    <w:rPr>
      <w:color w:val="808080"/>
    </w:rPr>
  </w:style>
  <w:style w:type="paragraph" w:customStyle="1" w:styleId="86">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customStyle="1" w:styleId="87">
    <w:name w:val="_Style 5"/>
    <w:qFormat/>
    <w:uiPriority w:val="0"/>
    <w:pPr>
      <w:widowControl w:val="0"/>
      <w:jc w:val="center"/>
    </w:pPr>
    <w:rPr>
      <w:rFonts w:ascii="Calibri" w:hAnsi="Calibri" w:eastAsia="宋体" w:cs="Times New Roman"/>
      <w:kern w:val="2"/>
      <w:sz w:val="21"/>
      <w:szCs w:val="22"/>
      <w:lang w:val="en-US" w:eastAsia="zh-CN" w:bidi="ar-SA"/>
    </w:rPr>
  </w:style>
  <w:style w:type="character" w:customStyle="1" w:styleId="88">
    <w:name w:val="font11"/>
    <w:basedOn w:val="34"/>
    <w:qFormat/>
    <w:uiPriority w:val="0"/>
    <w:rPr>
      <w:rFonts w:hint="eastAsia" w:ascii="宋体" w:hAnsi="宋体" w:eastAsia="宋体" w:cs="宋体"/>
      <w:color w:val="000000"/>
      <w:sz w:val="21"/>
      <w:szCs w:val="21"/>
      <w:u w:val="none"/>
    </w:rPr>
  </w:style>
  <w:style w:type="character" w:customStyle="1" w:styleId="89">
    <w:name w:val="font21"/>
    <w:basedOn w:val="34"/>
    <w:qFormat/>
    <w:uiPriority w:val="0"/>
    <w:rPr>
      <w:rFonts w:hint="default" w:ascii="Times New Roman" w:hAnsi="Times New Roman" w:cs="Times New Roman"/>
      <w:color w:val="000000"/>
      <w:sz w:val="21"/>
      <w:szCs w:val="21"/>
      <w:u w:val="none"/>
    </w:rPr>
  </w:style>
  <w:style w:type="character" w:customStyle="1" w:styleId="90">
    <w:name w:val="正文文本 3 字符"/>
    <w:basedOn w:val="34"/>
    <w:link w:val="12"/>
    <w:qFormat/>
    <w:uiPriority w:val="0"/>
    <w:rPr>
      <w:rFonts w:ascii="Calibri" w:hAnsi="Calibri"/>
      <w:kern w:val="2"/>
      <w:sz w:val="16"/>
      <w:szCs w:val="16"/>
    </w:rPr>
  </w:style>
  <w:style w:type="paragraph" w:customStyle="1" w:styleId="91">
    <w:name w:val="列表段落1"/>
    <w:basedOn w:val="1"/>
    <w:qFormat/>
    <w:uiPriority w:val="1"/>
    <w:pPr>
      <w:ind w:left="1106" w:hanging="711"/>
    </w:pPr>
    <w:rPr>
      <w:rFonts w:ascii="宋体" w:hAnsi="宋体" w:cs="宋体"/>
      <w:szCs w:val="22"/>
    </w:rPr>
  </w:style>
  <w:style w:type="character" w:customStyle="1" w:styleId="92">
    <w:name w:val="font31"/>
    <w:basedOn w:val="34"/>
    <w:qFormat/>
    <w:uiPriority w:val="0"/>
    <w:rPr>
      <w:rFonts w:hint="default" w:ascii="Times New Roman" w:hAnsi="Times New Roman" w:cs="Times New Roman"/>
      <w:color w:val="000000"/>
      <w:sz w:val="28"/>
      <w:szCs w:val="28"/>
      <w:u w:val="none"/>
    </w:rPr>
  </w:style>
  <w:style w:type="paragraph" w:customStyle="1" w:styleId="93">
    <w:name w:val="表格4"/>
    <w:basedOn w:val="1"/>
    <w:qFormat/>
    <w:uiPriority w:val="0"/>
    <w:pPr>
      <w:jc w:val="center"/>
    </w:pPr>
    <w:rPr>
      <w:rFonts w:ascii="宋体" w:hAnsi="宋体" w:eastAsia="仿宋_GB2312"/>
      <w:sz w:val="22"/>
      <w:szCs w:val="22"/>
    </w:rPr>
  </w:style>
  <w:style w:type="paragraph" w:customStyle="1" w:styleId="94">
    <w:name w:val="正文文字缩进 3"/>
    <w:basedOn w:val="1"/>
    <w:qFormat/>
    <w:uiPriority w:val="0"/>
    <w:pPr>
      <w:spacing w:line="312" w:lineRule="auto"/>
      <w:ind w:firstLine="480" w:firstLineChars="200"/>
    </w:pPr>
    <w:rPr>
      <w:rFonts w:ascii="Calibri" w:hAnsi="Calibri"/>
      <w:kern w:val="0"/>
      <w:sz w:val="24"/>
    </w:rPr>
  </w:style>
  <w:style w:type="paragraph" w:customStyle="1" w:styleId="95">
    <w:name w:val="三级标题"/>
    <w:basedOn w:val="1"/>
    <w:next w:val="2"/>
    <w:qFormat/>
    <w:uiPriority w:val="0"/>
    <w:pPr>
      <w:adjustRightInd w:val="0"/>
      <w:snapToGrid w:val="0"/>
      <w:spacing w:line="360" w:lineRule="exact"/>
      <w:jc w:val="center"/>
    </w:pPr>
    <w:rPr>
      <w:rFonts w:ascii="Calibri" w:hAnsi="Calibri"/>
      <w:bCs/>
      <w:sz w:val="24"/>
    </w:rPr>
  </w:style>
  <w:style w:type="paragraph" w:customStyle="1" w:styleId="96">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97">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98">
    <w:name w:val="表格内容"/>
    <w:basedOn w:val="1"/>
    <w:qFormat/>
    <w:uiPriority w:val="1"/>
    <w:pPr>
      <w:spacing w:line="280" w:lineRule="exact"/>
      <w:ind w:firstLine="6"/>
      <w:jc w:val="center"/>
    </w:pPr>
    <w:rPr>
      <w:rFonts w:ascii="宋体" w:hAnsi="宋体" w:cs="Arial Unicode MS"/>
      <w:sz w:val="18"/>
      <w:szCs w:val="20"/>
    </w:rPr>
  </w:style>
  <w:style w:type="paragraph" w:customStyle="1" w:styleId="99">
    <w:name w:val="Body text|1"/>
    <w:basedOn w:val="1"/>
    <w:next w:val="1"/>
    <w:qFormat/>
    <w:uiPriority w:val="0"/>
    <w:pPr>
      <w:spacing w:line="360" w:lineRule="auto"/>
      <w:ind w:firstLine="1134"/>
    </w:pPr>
    <w:rPr>
      <w:rFonts w:ascii="宋体" w:hAnsi="宋体" w:cs="宋体"/>
      <w:sz w:val="24"/>
      <w:lang w:val="zh-TW" w:eastAsia="zh-TW" w:bidi="zh-TW"/>
    </w:rPr>
  </w:style>
  <w:style w:type="character" w:customStyle="1" w:styleId="100">
    <w:name w:val="标题 1 字符"/>
    <w:basedOn w:val="34"/>
    <w:link w:val="5"/>
    <w:uiPriority w:val="9"/>
    <w:rPr>
      <w:rFonts w:eastAsia="黑体"/>
      <w:b/>
      <w:kern w:val="44"/>
      <w:sz w:val="28"/>
      <w:szCs w:val="24"/>
    </w:rPr>
  </w:style>
  <w:style w:type="paragraph" w:customStyle="1" w:styleId="101">
    <w:name w:val="TOC Heading"/>
    <w:basedOn w:val="5"/>
    <w:next w:val="1"/>
    <w:unhideWhenUsed/>
    <w:qFormat/>
    <w:uiPriority w:val="39"/>
    <w:pPr>
      <w:keepNext/>
      <w:keepLines/>
      <w:pageBreakBefore w:val="0"/>
      <w:widowControl/>
      <w:spacing w:before="240" w:line="259" w:lineRule="auto"/>
      <w:outlineLvl w:val="9"/>
    </w:pPr>
    <w:rPr>
      <w:rFonts w:asciiTheme="majorHAnsi" w:hAnsiTheme="majorHAnsi" w:eastAsiaTheme="majorEastAsia" w:cstheme="majorBidi"/>
      <w:b w:val="0"/>
      <w:color w:val="2E75B6" w:themeColor="accent1" w:themeShade="BF"/>
      <w:kern w:val="0"/>
      <w:sz w:val="32"/>
      <w:szCs w:val="32"/>
    </w:rPr>
  </w:style>
  <w:style w:type="character" w:customStyle="1" w:styleId="102">
    <w:name w:val="Unresolved Mention"/>
    <w:basedOn w:val="34"/>
    <w:semiHidden/>
    <w:unhideWhenUsed/>
    <w:uiPriority w:val="99"/>
    <w:rPr>
      <w:color w:val="605E5C"/>
      <w:shd w:val="clear" w:color="auto" w:fill="E1DFDD"/>
    </w:rPr>
  </w:style>
  <w:style w:type="paragraph" w:customStyle="1" w:styleId="103">
    <w:name w:val="lh-正文-报告书"/>
    <w:link w:val="104"/>
    <w:qFormat/>
    <w:uiPriority w:val="0"/>
    <w:pPr>
      <w:widowControl w:val="0"/>
      <w:spacing w:line="360" w:lineRule="auto"/>
      <w:ind w:firstLine="200" w:firstLineChars="200"/>
      <w:jc w:val="both"/>
    </w:pPr>
    <w:rPr>
      <w:rFonts w:ascii="Times New Roman" w:hAnsi="Times New Roman" w:eastAsia="宋体" w:cs="Times New Roman"/>
      <w:snapToGrid w:val="0"/>
      <w:sz w:val="24"/>
      <w:szCs w:val="21"/>
      <w:lang w:val="en-GB" w:eastAsia="zh-CN" w:bidi="ar-SA"/>
    </w:rPr>
  </w:style>
  <w:style w:type="character" w:customStyle="1" w:styleId="104">
    <w:name w:val="lh-正文-报告书 Char"/>
    <w:link w:val="103"/>
    <w:qFormat/>
    <w:uiPriority w:val="0"/>
    <w:rPr>
      <w:snapToGrid w:val="0"/>
      <w:sz w:val="24"/>
      <w:szCs w:val="21"/>
      <w:lang w:val="en-GB"/>
    </w:rPr>
  </w:style>
  <w:style w:type="paragraph" w:customStyle="1" w:styleId="105">
    <w:name w:val="正文首行缩进 21"/>
    <w:basedOn w:val="13"/>
    <w:next w:val="1"/>
    <w:uiPriority w:val="0"/>
    <w:pPr>
      <w:adjustRightInd w:val="0"/>
      <w:snapToGrid w:val="0"/>
      <w:spacing w:line="360" w:lineRule="auto"/>
      <w:ind w:firstLine="200" w:firstLineChars="200"/>
      <w:textAlignment w:val="baseline"/>
    </w:pPr>
    <w:rPr>
      <w:color w:val="000000"/>
      <w:kern w:val="0"/>
    </w:rPr>
  </w:style>
  <w:style w:type="character" w:customStyle="1" w:styleId="106">
    <w:name w:val="批注框文本 字符"/>
    <w:basedOn w:val="34"/>
    <w:link w:val="22"/>
    <w:uiPriority w:val="99"/>
    <w:rPr>
      <w:rFonts w:asciiTheme="minorHAnsi" w:hAnsiTheme="minorHAnsi" w:eastAsiaTheme="minorEastAsia" w:cstheme="minorBidi"/>
      <w:kern w:val="2"/>
      <w:sz w:val="18"/>
      <w:szCs w:val="18"/>
    </w:rPr>
  </w:style>
  <w:style w:type="table" w:customStyle="1" w:styleId="107">
    <w:name w:val="网格型4"/>
    <w:basedOn w:val="32"/>
    <w:qFormat/>
    <w:uiPriority w:val="0"/>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
    <w:name w:val="网格型11"/>
    <w:basedOn w:val="3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
    <w:name w:val="Table Normal2"/>
    <w:unhideWhenUsed/>
    <w:qFormat/>
    <w:uiPriority w:val="0"/>
    <w:tblPr>
      <w:tblCellMar>
        <w:top w:w="0" w:type="dxa"/>
        <w:left w:w="0" w:type="dxa"/>
        <w:bottom w:w="0" w:type="dxa"/>
        <w:right w:w="0" w:type="dxa"/>
      </w:tblCellMar>
    </w:tblPr>
  </w:style>
  <w:style w:type="table" w:customStyle="1" w:styleId="110">
    <w:name w:val="Table Normal11"/>
    <w:basedOn w:val="32"/>
    <w:semiHidden/>
    <w:uiPriority w:val="0"/>
    <w:rPr>
      <w:rFonts w:eastAsia="Times New Roman"/>
    </w:rPr>
    <w:tblPr>
      <w:tblCellMar>
        <w:left w:w="0" w:type="dxa"/>
        <w:right w:w="0" w:type="dxa"/>
      </w:tblCellMar>
    </w:tblPr>
  </w:style>
  <w:style w:type="paragraph" w:customStyle="1" w:styleId="111">
    <w:name w:val="默认段落字体 Para Char Char Char Char Char Char Char Char Char1 Char Char Char Char Char Char Char Char Char Char"/>
    <w:basedOn w:val="10"/>
    <w:uiPriority w:val="0"/>
    <w:pPr>
      <w:shd w:val="clear" w:color="auto" w:fill="000080"/>
    </w:pPr>
    <w:rPr>
      <w:rFonts w:ascii="黑体" w:hAnsi="Arial" w:eastAsia="仿宋" w:cs="Verdana"/>
      <w:bCs/>
      <w:kern w:val="0"/>
      <w:sz w:val="24"/>
      <w:szCs w:val="28"/>
      <w:lang w:eastAsia="en-US"/>
    </w:rPr>
  </w:style>
  <w:style w:type="character" w:customStyle="1" w:styleId="112">
    <w:name w:val="文档结构图 字符"/>
    <w:basedOn w:val="34"/>
    <w:link w:val="10"/>
    <w:qFormat/>
    <w:uiPriority w:val="0"/>
    <w:rPr>
      <w:rFonts w:ascii="Microsoft YaHei UI" w:eastAsia="Microsoft YaHei UI"/>
      <w:kern w:val="2"/>
      <w:sz w:val="18"/>
      <w:szCs w:val="18"/>
    </w:rPr>
  </w:style>
  <w:style w:type="paragraph" w:customStyle="1" w:styleId="113">
    <w:name w:val="表格222"/>
    <w:basedOn w:val="1"/>
    <w:qFormat/>
    <w:uiPriority w:val="0"/>
    <w:pPr>
      <w:snapToGrid w:val="0"/>
      <w:spacing w:line="360" w:lineRule="auto"/>
      <w:jc w:val="center"/>
    </w:pPr>
    <w:rPr>
      <w:rFonts w:ascii="Calibri" w:hAnsi="Calibri"/>
      <w:color w:val="00000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numbering" Target="numbering.xml"/><Relationship Id="rId26" Type="http://schemas.openxmlformats.org/officeDocument/2006/relationships/image" Target="media/image16.pn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emf"/><Relationship Id="rId14" Type="http://schemas.openxmlformats.org/officeDocument/2006/relationships/package" Target="embeddings/Microsoft_Visio___3.vsdx"/><Relationship Id="rId13" Type="http://schemas.openxmlformats.org/officeDocument/2006/relationships/image" Target="media/image4.emf"/><Relationship Id="rId12" Type="http://schemas.openxmlformats.org/officeDocument/2006/relationships/package" Target="embeddings/Microsoft_Visio___2.vsdx"/><Relationship Id="rId11" Type="http://schemas.openxmlformats.org/officeDocument/2006/relationships/image" Target="media/image3.emf"/><Relationship Id="rId10" Type="http://schemas.openxmlformats.org/officeDocument/2006/relationships/package" Target="embeddings/Microsoft_Visio___1.vsdx"/><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tandalone='no'?>
<b:Sources xmlns:b="http://schemas.openxmlformats.org/officeDocument/2006/bibliography" Version="6" SelectedStyle="\APASixthEditionOfficeOnline.xsl" StyleName="APA" xmlns:b="http://schemas.openxmlformats.org/officeDocument/2006/bibliography"/>

</file>

<file path=customXml/itemProps1.xml><?xml version="1.0" encoding="utf-8"?>
<ds:datastoreItem xmlns:ds="http://schemas.openxmlformats.org/officeDocument/2006/customXml" ds:itemID="{D20CE0A6-5A75-4234-BCEA-DBE708FBFCC7}">
  <ds:schemaRefs/>
</ds:datastoreItem>
</file>

<file path=docProps/app.xml><?xml version="1.0" encoding="utf-8"?>
<Properties xmlns="http://schemas.openxmlformats.org/officeDocument/2006/extended-properties" xmlns:vt="http://schemas.openxmlformats.org/officeDocument/2006/docPropsVTypes">
  <Template>Normal</Template>
  <Pages>82</Pages>
  <Words>53217</Words>
  <Characters>9406</Characters>
  <Lines>587</Lines>
  <Paragraphs>2609</Paragraphs>
  <TotalTime>5321</TotalTime>
  <ScaleCrop>false</ScaleCrop>
  <LinksUpToDate>false</LinksUpToDate>
  <CharactersWithSpaces>60014</CharactersWithSpaces>
  <Application>WPS Office_11.8.2.1131_F1E327BC-269C-435d-A152-05C5408002CA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2023-07-19T18:03:00Z</dcterms:created>
  <dc:creator>从前有棵小菠菜</dc:creator>
  <cp:lastModifiedBy>huawei</cp:lastModifiedBy>
  <cp:lastPrinted>2023-07-03T10:43:00Z</cp:lastPrinted>
  <dcterms:modified xsi:type="dcterms:W3CDTF">2024-03-04T12:03:24Z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2052-11.8.2.1131</vt:lpwstr>
  </property>
  <property fmtid="{D5CDD505-2E9C-101B-9397-08002B2CF9AE}" pid="3" name="ICV">
    <vt:lpwstr>7463A37AC80AD2300C48E565FE7DC303</vt:lpwstr>
  </property>
</Properties>
</file>